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rebuchet MS" w:hAnsi="Trebuchet MS"/>
          <w:b/>
          <w:bCs/>
          <w:sz w:val="32"/>
          <w:szCs w:val="32"/>
          <w:lang w:val="ro-RO"/>
        </w:rPr>
      </w:pPr>
      <w:r>
        <w:rPr>
          <w:rFonts w:ascii="Trebuchet MS" w:hAnsi="Trebuchet MS"/>
          <w:b/>
          <w:bCs/>
          <w:sz w:val="32"/>
          <w:szCs w:val="32"/>
          <w:lang w:val="ro-RO"/>
        </w:rPr>
        <w:t>Centralizator întrebări și răspunsuri</w:t>
      </w:r>
    </w:p>
    <w:p>
      <w:pPr>
        <w:pStyle w:val="Normal"/>
        <w:jc w:val="both"/>
        <w:rPr>
          <w:rFonts w:ascii="Trebuchet MS" w:hAnsi="Trebuchet MS"/>
          <w:b/>
          <w:bCs/>
          <w:sz w:val="32"/>
          <w:szCs w:val="32"/>
          <w:lang w:val="ro-RO"/>
        </w:rPr>
      </w:pPr>
      <w:r>
        <w:rPr>
          <w:rFonts w:ascii="Trebuchet MS" w:hAnsi="Trebuchet MS"/>
          <w:b/>
          <w:bCs/>
          <w:sz w:val="32"/>
          <w:szCs w:val="32"/>
          <w:lang w:val="ro-RO"/>
        </w:rPr>
      </w:r>
    </w:p>
    <w:p>
      <w:pPr>
        <w:pStyle w:val="Normal"/>
        <w:jc w:val="both"/>
        <w:rPr>
          <w:rFonts w:ascii="Trebuchet MS" w:hAnsi="Trebuchet MS"/>
          <w:sz w:val="22"/>
          <w:szCs w:val="22"/>
          <w:lang w:val="ro-RO"/>
        </w:rPr>
      </w:pPr>
      <w:bookmarkStart w:id="0" w:name="_Hlk206662931"/>
      <w:r>
        <w:rPr>
          <w:rFonts w:ascii="Trebuchet MS" w:hAnsi="Trebuchet MS"/>
          <w:sz w:val="22"/>
          <w:szCs w:val="22"/>
          <w:lang w:val="ro-RO"/>
        </w:rPr>
        <w:t>Ghidul solicitantului „</w:t>
      </w:r>
      <w:r>
        <w:rPr>
          <w:rFonts w:ascii="Trebuchet MS" w:hAnsi="Trebuchet MS"/>
          <w:b/>
          <w:bCs/>
          <w:sz w:val="22"/>
          <w:szCs w:val="22"/>
          <w:lang w:val="ro-RO"/>
        </w:rPr>
        <w:t>Intervenții care sprijină dezvoltarea întreprinderilor și a antreprenoriatului</w:t>
      </w:r>
      <w:r>
        <w:rPr>
          <w:rFonts w:ascii="Trebuchet MS" w:hAnsi="Trebuchet MS"/>
          <w:sz w:val="22"/>
          <w:szCs w:val="22"/>
          <w:lang w:val="ro-RO"/>
        </w:rPr>
        <w:t>”, componenta „</w:t>
      </w:r>
      <w:r>
        <w:rPr>
          <w:rFonts w:ascii="Trebuchet MS" w:hAnsi="Trebuchet MS"/>
          <w:b/>
          <w:bCs/>
          <w:sz w:val="22"/>
          <w:szCs w:val="22"/>
          <w:lang w:val="ro-RO"/>
        </w:rPr>
        <w:t>Sprijin pentru creșterea durabilă a microîntrperinderilor și crearea de locuri de muncă</w:t>
      </w:r>
      <w:r>
        <w:rPr>
          <w:rFonts w:ascii="Trebuchet MS" w:hAnsi="Trebuchet MS"/>
          <w:sz w:val="22"/>
          <w:szCs w:val="22"/>
          <w:lang w:val="ro-RO"/>
        </w:rPr>
        <w:t>” din cadrul Programului Tranziție justă 2021-2027</w:t>
      </w:r>
      <w:bookmarkEnd w:id="0"/>
      <w:r>
        <w:rPr>
          <w:rFonts w:ascii="Trebuchet MS" w:hAnsi="Trebuchet MS"/>
          <w:sz w:val="22"/>
          <w:szCs w:val="22"/>
          <w:lang w:val="ro-RO"/>
        </w:rPr>
        <w:t>, aprobat prin Ordinul ministrului investițiilor și proiectelor europene nr. 759 din 16.04.2025.</w:t>
      </w:r>
    </w:p>
    <w:p>
      <w:pPr>
        <w:pStyle w:val="Normal"/>
        <w:spacing w:lineRule="auto" w:line="276"/>
        <w:jc w:val="both"/>
        <w:rPr>
          <w:rFonts w:ascii="Trebuchet MS" w:hAnsi="Trebuchet MS"/>
          <w:sz w:val="22"/>
          <w:szCs w:val="22"/>
          <w:lang w:val="ro-RO"/>
        </w:rPr>
      </w:pPr>
      <w:r>
        <w:rPr>
          <w:rFonts w:ascii="Trebuchet MS" w:hAnsi="Trebuchet MS"/>
          <w:sz w:val="22"/>
          <w:szCs w:val="22"/>
          <w:lang w:val="ro-RO"/>
        </w:rPr>
      </w:r>
    </w:p>
    <w:tbl>
      <w:tblPr>
        <w:tblStyle w:val="TableGrid"/>
        <w:tblW w:w="134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611"/>
        <w:gridCol w:w="2108"/>
        <w:gridCol w:w="1421"/>
        <w:gridCol w:w="4152"/>
        <w:gridCol w:w="5113"/>
      </w:tblGrid>
      <w:tr>
        <w:trPr/>
        <w:tc>
          <w:tcPr>
            <w:tcW w:w="611" w:type="dxa"/>
            <w:tcBorders/>
            <w:shd w:color="auto" w:fill="D9D9D9" w:themeFill="background1" w:themeFillShade="d9" w:val="clear"/>
          </w:tcPr>
          <w:p>
            <w:pPr>
              <w:pStyle w:val="Normal"/>
              <w:widowControl/>
              <w:spacing w:lineRule="auto" w:line="240" w:before="0" w:after="0"/>
              <w:jc w:val="both"/>
              <w:rPr>
                <w:rFonts w:ascii="Trebuchet MS" w:hAnsi="Trebuchet MS"/>
                <w:b/>
                <w:bCs/>
                <w:sz w:val="22"/>
                <w:szCs w:val="22"/>
                <w:lang w:val="ro-RO"/>
              </w:rPr>
            </w:pPr>
            <w:r>
              <w:rPr>
                <w:rFonts w:eastAsia="Aptos" w:cs="" w:ascii="Trebuchet MS" w:hAnsi="Trebuchet MS"/>
                <w:b/>
                <w:bCs/>
                <w:kern w:val="2"/>
                <w:sz w:val="22"/>
                <w:szCs w:val="22"/>
                <w:lang w:val="ro-RO" w:eastAsia="en-US" w:bidi="ar-SA"/>
              </w:rPr>
              <w:t>NR CRT</w:t>
            </w:r>
          </w:p>
        </w:tc>
        <w:tc>
          <w:tcPr>
            <w:tcW w:w="2108" w:type="dxa"/>
            <w:tcBorders/>
            <w:shd w:color="auto" w:fill="D9D9D9" w:themeFill="background1" w:themeFillShade="d9" w:val="clear"/>
          </w:tcPr>
          <w:p>
            <w:pPr>
              <w:pStyle w:val="Normal"/>
              <w:widowControl/>
              <w:spacing w:lineRule="auto" w:line="240" w:before="0" w:after="0"/>
              <w:jc w:val="both"/>
              <w:rPr>
                <w:rFonts w:ascii="Trebuchet MS" w:hAnsi="Trebuchet MS"/>
                <w:b/>
                <w:bCs/>
                <w:sz w:val="22"/>
                <w:szCs w:val="22"/>
                <w:lang w:val="ro-RO"/>
              </w:rPr>
            </w:pPr>
            <w:r>
              <w:rPr>
                <w:rFonts w:eastAsia="Aptos" w:cs="" w:ascii="Trebuchet MS" w:hAnsi="Trebuchet MS"/>
                <w:b/>
                <w:bCs/>
                <w:kern w:val="2"/>
                <w:sz w:val="22"/>
                <w:szCs w:val="22"/>
                <w:lang w:val="ro-RO" w:eastAsia="en-US" w:bidi="ar-SA"/>
              </w:rPr>
              <w:t>Număr/dată de înregistrare</w:t>
            </w:r>
          </w:p>
        </w:tc>
        <w:tc>
          <w:tcPr>
            <w:tcW w:w="1421" w:type="dxa"/>
            <w:tcBorders/>
            <w:shd w:color="auto" w:fill="D9D9D9" w:themeFill="background1" w:themeFillShade="d9" w:val="clear"/>
          </w:tcPr>
          <w:p>
            <w:pPr>
              <w:pStyle w:val="Normal"/>
              <w:widowControl/>
              <w:spacing w:lineRule="auto" w:line="240" w:before="0" w:after="0"/>
              <w:jc w:val="both"/>
              <w:rPr>
                <w:rFonts w:ascii="Trebuchet MS" w:hAnsi="Trebuchet MS"/>
                <w:b/>
                <w:bCs/>
                <w:sz w:val="22"/>
                <w:szCs w:val="22"/>
                <w:lang w:val="ro-RO"/>
              </w:rPr>
            </w:pPr>
            <w:r>
              <w:rPr>
                <w:rFonts w:eastAsia="Aptos" w:cs="" w:ascii="Trebuchet MS" w:hAnsi="Trebuchet MS"/>
                <w:b/>
                <w:bCs/>
                <w:kern w:val="2"/>
                <w:sz w:val="22"/>
                <w:szCs w:val="22"/>
                <w:lang w:val="ro-RO" w:eastAsia="en-US" w:bidi="ar-SA"/>
              </w:rPr>
              <w:t>Modalitate de transmitere</w:t>
            </w:r>
          </w:p>
        </w:tc>
        <w:tc>
          <w:tcPr>
            <w:tcW w:w="4152" w:type="dxa"/>
            <w:tcBorders/>
            <w:shd w:color="auto" w:fill="D9D9D9" w:themeFill="background1" w:themeFillShade="d9" w:val="clear"/>
          </w:tcPr>
          <w:p>
            <w:pPr>
              <w:pStyle w:val="Normal"/>
              <w:widowControl/>
              <w:spacing w:lineRule="auto" w:line="240" w:before="0" w:after="0"/>
              <w:jc w:val="both"/>
              <w:rPr>
                <w:rFonts w:ascii="Trebuchet MS" w:hAnsi="Trebuchet MS"/>
                <w:b/>
                <w:bCs/>
                <w:sz w:val="22"/>
                <w:szCs w:val="22"/>
                <w:lang w:val="ro-RO"/>
              </w:rPr>
            </w:pPr>
            <w:r>
              <w:rPr>
                <w:rFonts w:eastAsia="Aptos" w:cs="" w:ascii="Trebuchet MS" w:hAnsi="Trebuchet MS"/>
                <w:b/>
                <w:bCs/>
                <w:kern w:val="2"/>
                <w:sz w:val="22"/>
                <w:szCs w:val="22"/>
                <w:lang w:val="ro-RO" w:eastAsia="en-US" w:bidi="ar-SA"/>
              </w:rPr>
              <w:t>Întrebare/Observație</w:t>
            </w:r>
          </w:p>
        </w:tc>
        <w:tc>
          <w:tcPr>
            <w:tcW w:w="5113" w:type="dxa"/>
            <w:tcBorders/>
            <w:shd w:color="auto" w:fill="D9D9D9" w:themeFill="background1" w:themeFillShade="d9" w:val="clear"/>
          </w:tcPr>
          <w:p>
            <w:pPr>
              <w:pStyle w:val="Normal"/>
              <w:widowControl/>
              <w:spacing w:lineRule="auto" w:line="240" w:before="0" w:after="0"/>
              <w:jc w:val="both"/>
              <w:rPr>
                <w:rFonts w:ascii="Trebuchet MS" w:hAnsi="Trebuchet MS"/>
                <w:b/>
                <w:bCs/>
                <w:sz w:val="22"/>
                <w:szCs w:val="22"/>
                <w:lang w:val="ro-RO"/>
              </w:rPr>
            </w:pPr>
            <w:r>
              <w:rPr>
                <w:rFonts w:eastAsia="Aptos" w:cs="" w:ascii="Trebuchet MS" w:hAnsi="Trebuchet MS"/>
                <w:b/>
                <w:bCs/>
                <w:kern w:val="2"/>
                <w:sz w:val="22"/>
                <w:szCs w:val="22"/>
                <w:lang w:val="ro-RO" w:eastAsia="en-US" w:bidi="ar-SA"/>
              </w:rPr>
              <w:t>Răspuns</w:t>
            </w:r>
          </w:p>
        </w:tc>
      </w:tr>
      <w:tr>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1</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30479/18.03.2025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În cadrul apelului „Sprijin pentru dezvoltarea microîntreprinderilor”, aferent Programului Tranziție Justă se poate depune proiect pentru 2 coduri CAEN respectiv: 8623 – activități de asistență stomatologică și 8691- servicii de diagnostic imagistic și activități ale laboratoarelor medicale. Mai exact un cabinet stomatologic poate depune cerere de finanțare în care să fie incluse echipamente specifice activitățiilor de asistență stomatologică și activități specifice radiologiei dentare.</w:t>
            </w:r>
          </w:p>
        </w:tc>
        <w:tc>
          <w:tcPr>
            <w:tcW w:w="5113"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Pentru determinarea eligibilității echipamentelor pe care intenționați să le achiziționați, vă rugăm să luați în calcul cerințele de eligibilitate la nivelul proiectului, categoriile de activități eligibile și cele privind rezonabilitatea costurilor astfel cum acestea sunt stabilite prin Ghidul Solicitantului.</w:t>
            </w:r>
          </w:p>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În cadrul „Planului de afaceri”, precum și în Anexa 7, trebuie să se demonstreze necesitatea și oportunitatea achiziționării echipamentelor propuse.</w:t>
            </w:r>
          </w:p>
        </w:tc>
      </w:tr>
      <w:tr>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2</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33124/24.03.2025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În Ghidul consultativ, la art.5.3.2. se precizează următoarele aspecte:</w:t>
            </w:r>
          </w:p>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w:t>
            </w:r>
            <w:r>
              <w:rPr>
                <w:rFonts w:eastAsia="Aptos" w:cs="" w:ascii="Trebuchet MS" w:hAnsi="Trebuchet MS"/>
                <w:kern w:val="2"/>
                <w:sz w:val="22"/>
                <w:szCs w:val="22"/>
                <w:lang w:val="ro-RO" w:eastAsia="en-US" w:bidi="ar-SA"/>
              </w:rPr>
              <w:t>Se vor finanța următoarele tipuri de activități:</w:t>
            </w:r>
          </w:p>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-lucrări de construcție, modernizare, extindere a spațiilor de producție/prestare de servicii existente, inclusiv a utilităților generate aferente (alimentare cu apă, canalizare, alimentare cu gaze naturale, agent termic, energie electrică PSI).</w:t>
            </w:r>
          </w:p>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Lucrările de modernizare pot fi eligibile doar în măsura în care implică modificări/îmbunătățiri substanțiale ale infrastructurii existente”.</w:t>
            </w:r>
          </w:p>
          <w:p>
            <w:pPr>
              <w:pStyle w:val="Normal"/>
              <w:widowControl/>
              <w:spacing w:lineRule="auto" w:line="240" w:before="0" w:after="0"/>
              <w:jc w:val="both"/>
              <w:rPr>
                <w:rFonts w:ascii="Trebuchet MS" w:hAnsi="Trebuchet MS"/>
                <w:sz w:val="22"/>
                <w:szCs w:val="22"/>
                <w:lang w:val="ro-RO"/>
              </w:rPr>
            </w:pPr>
            <w:r>
              <w:rPr>
                <w:rFonts w:eastAsia="Aptos" w:cs="" w:ascii="Trebuchet MS" w:hAnsi="Trebuchet MS"/>
                <w:b/>
                <w:bCs/>
                <w:kern w:val="2"/>
                <w:sz w:val="22"/>
                <w:szCs w:val="22"/>
                <w:lang w:val="ro-RO" w:eastAsia="en-US" w:bidi="ar-SA"/>
              </w:rPr>
              <w:t>Întrebarea 1:</w:t>
            </w:r>
            <w:r>
              <w:rPr>
                <w:rFonts w:eastAsia="Aptos" w:cs="" w:ascii="Trebuchet MS" w:hAnsi="Trebuchet MS"/>
                <w:kern w:val="2"/>
                <w:sz w:val="22"/>
                <w:szCs w:val="22"/>
                <w:lang w:val="ro-RO" w:eastAsia="en-US" w:bidi="ar-SA"/>
              </w:rPr>
              <w:t xml:space="preserve"> În acest sens, vă rugăm să ne precizați. La ce se referă termenul modificări/îmbunătățiri substanțiale, în contextul modernizării unui imobil. Cum poate acest indicator cuantificat sau demonstrat?</w:t>
            </w:r>
          </w:p>
          <w:p>
            <w:pPr>
              <w:pStyle w:val="Normal"/>
              <w:widowControl/>
              <w:spacing w:lineRule="auto" w:line="240" w:before="0" w:after="0"/>
              <w:jc w:val="both"/>
              <w:rPr>
                <w:rFonts w:ascii="Trebuchet MS" w:hAnsi="Trebuchet MS"/>
                <w:sz w:val="22"/>
                <w:szCs w:val="22"/>
                <w:lang w:val="ro-RO"/>
              </w:rPr>
            </w:pPr>
            <w:r>
              <w:rPr>
                <w:rFonts w:eastAsia="Aptos" w:cs="" w:ascii="Trebuchet MS" w:hAnsi="Trebuchet MS"/>
                <w:b/>
                <w:bCs/>
                <w:kern w:val="2"/>
                <w:sz w:val="22"/>
                <w:szCs w:val="22"/>
                <w:lang w:val="ro-RO" w:eastAsia="en-US" w:bidi="ar-SA"/>
              </w:rPr>
              <w:t>Întrebarea 2:</w:t>
            </w:r>
            <w:r>
              <w:rPr>
                <w:rFonts w:eastAsia="Aptos" w:cs="" w:ascii="Trebuchet MS" w:hAnsi="Trebuchet MS"/>
                <w:kern w:val="2"/>
                <w:sz w:val="22"/>
                <w:szCs w:val="22"/>
                <w:lang w:val="ro-RO" w:eastAsia="en-US" w:bidi="ar-SA"/>
              </w:rPr>
              <w:t xml:space="preserve"> În situația unei pensiuni care își propune prin proiect lucrări de modernizare, într-o valoare substanțială de aprox.300.000 EURO și care constau în:</w:t>
            </w:r>
          </w:p>
          <w:p>
            <w:pPr>
              <w:pStyle w:val="ListParagraph"/>
              <w:widowControl/>
              <w:numPr>
                <w:ilvl w:val="0"/>
                <w:numId w:val="1"/>
              </w:numPr>
              <w:spacing w:lineRule="auto" w:line="240" w:before="0" w:after="0"/>
              <w:contextualSpacing/>
              <w:jc w:val="both"/>
              <w:rPr>
                <w:rFonts w:ascii="Trebuchet MS" w:hAnsi="Trebuchet MS"/>
                <w:sz w:val="22"/>
                <w:szCs w:val="22"/>
                <w:lang w:val="ro-RO"/>
              </w:rPr>
            </w:pPr>
            <w:r>
              <w:rPr>
                <w:rFonts w:eastAsia="Aptos" w:cs="" w:ascii="Trebuchet MS" w:hAnsi="Trebuchet MS"/>
                <w:kern w:val="2"/>
                <w:sz w:val="22"/>
                <w:szCs w:val="22"/>
                <w:lang w:val="ro-RO" w:eastAsia="en-US" w:bidi="ar-SA"/>
              </w:rPr>
              <w:t>Modernizarea structurii turistice prin reamenajarea următoarelor zone ale hotelului: recepției, spațiilor de cazare și a holurilor, sălii de servit mic dejun</w:t>
            </w:r>
          </w:p>
          <w:p>
            <w:pPr>
              <w:pStyle w:val="ListParagraph"/>
              <w:widowControl/>
              <w:numPr>
                <w:ilvl w:val="0"/>
                <w:numId w:val="1"/>
              </w:numPr>
              <w:spacing w:lineRule="auto" w:line="240" w:before="0" w:after="0"/>
              <w:contextualSpacing/>
              <w:jc w:val="both"/>
              <w:rPr>
                <w:rFonts w:ascii="Trebuchet MS" w:hAnsi="Trebuchet MS"/>
                <w:sz w:val="22"/>
                <w:szCs w:val="22"/>
                <w:lang w:val="ro-RO"/>
              </w:rPr>
            </w:pPr>
            <w:r>
              <w:rPr>
                <w:rFonts w:eastAsia="Aptos" w:cs="" w:ascii="Trebuchet MS" w:hAnsi="Trebuchet MS"/>
                <w:kern w:val="2"/>
                <w:sz w:val="22"/>
                <w:szCs w:val="22"/>
                <w:lang w:val="ro-RO" w:eastAsia="en-US" w:bidi="ar-SA"/>
              </w:rPr>
              <w:t>Achiziționare de mobilier hotelier și mobilier restaurant</w:t>
            </w:r>
          </w:p>
          <w:p>
            <w:pPr>
              <w:pStyle w:val="Normal"/>
              <w:widowControl/>
              <w:spacing w:lineRule="auto" w:line="240" w:before="0" w:after="0"/>
              <w:jc w:val="both"/>
              <w:rPr>
                <w:rFonts w:ascii="Trebuchet MS" w:hAnsi="Trebuchet MS"/>
                <w:b/>
                <w:bCs/>
                <w:sz w:val="22"/>
                <w:szCs w:val="22"/>
                <w:lang w:val="ro-RO"/>
              </w:rPr>
            </w:pPr>
            <w:r>
              <w:rPr>
                <w:rFonts w:eastAsia="Aptos" w:cs="" w:ascii="Trebuchet MS" w:hAnsi="Trebuchet MS"/>
                <w:b/>
                <w:bCs/>
                <w:kern w:val="2"/>
                <w:sz w:val="22"/>
                <w:szCs w:val="22"/>
                <w:lang w:val="ro-RO" w:eastAsia="en-US" w:bidi="ar-SA"/>
              </w:rPr>
              <w:t>Sunt eligibile cheltuielile menționate și pot fi încadrate în categoria lucrări de modernizare?</w:t>
            </w:r>
          </w:p>
        </w:tc>
        <w:tc>
          <w:tcPr>
            <w:tcW w:w="5113"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Referitor la solicitarea dumneavoastră, vă informăm:</w:t>
            </w:r>
          </w:p>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1.În contextul modernizării unui imobil, sunt considerate „modernizări”, acele lucrări pentru care este necesară emiterea autorizației de construire, conform Legii nr.50/1991, republicată.</w:t>
            </w:r>
          </w:p>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 xml:space="preserve">2.În cadrul </w:t>
            </w:r>
            <w:r>
              <w:rPr>
                <w:rFonts w:eastAsia="Aptos" w:cs="" w:ascii="Trebuchet MS" w:hAnsi="Trebuchet MS"/>
                <w:i/>
                <w:iCs/>
                <w:kern w:val="2"/>
                <w:sz w:val="22"/>
                <w:szCs w:val="22"/>
                <w:lang w:val="ro-RO" w:eastAsia="en-US" w:bidi="ar-SA"/>
              </w:rPr>
              <w:t>Planului de afaceri</w:t>
            </w:r>
            <w:r>
              <w:rPr>
                <w:rFonts w:eastAsia="Aptos" w:cs="" w:ascii="Trebuchet MS" w:hAnsi="Trebuchet MS"/>
                <w:kern w:val="2"/>
                <w:sz w:val="22"/>
                <w:szCs w:val="22"/>
                <w:lang w:val="ro-RO" w:eastAsia="en-US" w:bidi="ar-SA"/>
              </w:rPr>
              <w:t xml:space="preserve"> trebuie să se demonstreze necesitatea și oportunitatea realizării lucrărilor propuse. Cheltuielile propuse trebuie să respecte prevederile capitolului 5.4 aferent Ghidului solicitantului.</w:t>
            </w:r>
          </w:p>
        </w:tc>
      </w:tr>
      <w:tr>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3</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33241/24.03.2025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Vă prezentăm speța unui aplicant, adresându-vă rugămintea:</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1.de confirmare/infirmare a analizei eligibilității privind tipul de solicitant:</w:t>
              <w:br/>
              <w:t>IMM micro validat ANAF, având situațiile financiare se prezintă astfel:</w:t>
            </w:r>
          </w:p>
          <w:p>
            <w:pPr>
              <w:pStyle w:val="NormalWeb"/>
              <w:widowControl/>
              <w:numPr>
                <w:ilvl w:val="0"/>
                <w:numId w:val="2"/>
              </w:numPr>
              <w:spacing w:before="280" w:after="0"/>
              <w:jc w:val="both"/>
              <w:rPr>
                <w:rFonts w:ascii="Trebuchet MS" w:hAnsi="Trebuchet MS"/>
                <w:sz w:val="22"/>
                <w:szCs w:val="22"/>
              </w:rPr>
            </w:pPr>
            <w:r>
              <w:rPr>
                <w:rFonts w:ascii="Trebuchet MS" w:hAnsi="Trebuchet MS"/>
                <w:sz w:val="22"/>
                <w:szCs w:val="22"/>
                <w:lang w:val="en-US" w:eastAsia="en-US" w:bidi="ar-SA"/>
              </w:rPr>
              <w:t>2021: 12 salariați</w:t>
            </w:r>
          </w:p>
          <w:p>
            <w:pPr>
              <w:pStyle w:val="NormalWeb"/>
              <w:widowControl/>
              <w:numPr>
                <w:ilvl w:val="0"/>
                <w:numId w:val="2"/>
              </w:numPr>
              <w:spacing w:before="0" w:after="0"/>
              <w:jc w:val="both"/>
              <w:rPr>
                <w:rFonts w:ascii="Trebuchet MS" w:hAnsi="Trebuchet MS"/>
                <w:sz w:val="22"/>
                <w:szCs w:val="22"/>
              </w:rPr>
            </w:pPr>
            <w:r>
              <w:rPr>
                <w:rFonts w:ascii="Trebuchet MS" w:hAnsi="Trebuchet MS"/>
                <w:sz w:val="22"/>
                <w:szCs w:val="22"/>
                <w:lang w:val="en-US" w:eastAsia="en-US" w:bidi="ar-SA"/>
              </w:rPr>
              <w:t>2022: 10 salariați și cifra de afaceri 220 350 lei</w:t>
            </w:r>
          </w:p>
          <w:p>
            <w:pPr>
              <w:pStyle w:val="NormalWeb"/>
              <w:widowControl/>
              <w:numPr>
                <w:ilvl w:val="0"/>
                <w:numId w:val="2"/>
              </w:numPr>
              <w:spacing w:before="0" w:after="280"/>
              <w:jc w:val="both"/>
              <w:rPr>
                <w:rFonts w:ascii="Trebuchet MS" w:hAnsi="Trebuchet MS"/>
                <w:sz w:val="22"/>
                <w:szCs w:val="22"/>
              </w:rPr>
            </w:pPr>
            <w:r>
              <w:rPr>
                <w:rFonts w:ascii="Trebuchet MS" w:hAnsi="Trebuchet MS"/>
                <w:sz w:val="22"/>
                <w:szCs w:val="22"/>
                <w:lang w:val="en-US" w:eastAsia="en-US" w:bidi="ar-SA"/>
              </w:rPr>
              <w:t>2023: 3 salariați, an referință depunere proiect cu cifra de afaceri 244 010 lei</w:t>
              <w:br/>
              <w:t>Analizând datele cu privire la numărul mediu anual de salariați, cifra de afaceri anuală netă și activele totale sunt cele realizate în ultimul exercițiu financiar raportate în situațiile financiare anuale aprobate de acționari sau asociați, validate ANAF, opinăm că IMM-ul se încadrează în categoria microîntreprindere.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2.de stabilirea a încadrării IMM autonomă/legate cu privire la posibile legături cu alte IMM-uri sau persoane fizice:</w:t>
              <w:br/>
              <w:t>Solicitant A cod CAEN 5510, încheie contract de comodat pentru folosința punctului de lucru în spațiul în care își desfășoară activitatea și întreprinderea B cod CAEN 5510, 5610, etc...</w:t>
              <w:br/>
              <w:t>Persoană fizică cu calitate de asociat în Solicitant A este rudă cu persoana fizică ce are calitate asociat în întreprinderea B. Asociații nu dețin participații încrucișate sau comune, iar cele două societăți sunt administrate în mod independent juridic, economic și managerial.</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a) Din p.v. al analizei relațiilor dintre solicitantul de finanțare A și alte întreprinderi prin intermediul persoanelor juridice, Solicitantul A nu deține participații (părți sociale, acțiuni) în capitalul social al niciunei alte întreprinderi și nicio altă întreprindere nu deține participații în capitalul social al solicitantului A. De asemenea, Solicitantul de finanțare A vs. Întreprindere care ar deține calitatea de asociat/acționar/admin. în cadrul solicitantului A – Nu există situația.</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b) Din p.v. al analizei relațiilor dintre solicitantul de finanțare și alte întreprinderi prin intermediul persoanelor fizice: Solicitantul de finanțare A persoane fizice (X) vs. Întreprindere analizată persoane fizice (Y) nu există. Persoana fizică X din solicitantul A are puteri depline, neexistând o altă persoană fizică cu puteri limitate sau fracționate. Persoana fizică Y nu are nicio calitate sau putere în întreprinderea solicitantului A.</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Din analiza noastră reiese că solicitantul de finanțare este întreprindere autonomă, deoarece Solicitantul de finanțare A nu deține participații (părți sociale, acțiuni) în capitalul social al niciunei alte întreprinderi și nicio altă întreprindere nu deține participații în capitalul social al solicitantului/beneficiarului.</w:t>
              <w:br/>
              <w:t>Legătura de rudenie, piața relevantă și adiacența se poate aplica în stabilirea întreprinderilor legate, nu autonome.</w:t>
            </w:r>
          </w:p>
        </w:tc>
        <w:tc>
          <w:tcPr>
            <w:tcW w:w="5113" w:type="dxa"/>
            <w:tcBorders/>
          </w:tcPr>
          <w:p>
            <w:pPr>
              <w:pStyle w:val="NormalWeb"/>
              <w:widowControl/>
              <w:spacing w:before="0" w:after="0"/>
              <w:jc w:val="both"/>
              <w:rPr>
                <w:rFonts w:ascii="Trebuchet MS" w:hAnsi="Trebuchet MS"/>
                <w:sz w:val="22"/>
                <w:szCs w:val="22"/>
              </w:rPr>
            </w:pPr>
            <w:r>
              <w:rPr>
                <w:rFonts w:ascii="Trebuchet MS" w:hAnsi="Trebuchet MS"/>
                <w:sz w:val="22"/>
                <w:szCs w:val="22"/>
                <w:lang w:val="en-US" w:eastAsia="en-US" w:bidi="ar-SA"/>
              </w:rPr>
              <w:t>În raport cu cele semnalate de dumneavoastră, vă comunică următoarele:</w:t>
              <w:br/>
              <w:t>Având în vedere depunerea cererilor de finanțare în aplicația SMIS la data de 01.07.2025, se vor utiliza datele financiare ale anului 2024.</w:t>
              <w:br/>
              <w:t>Conform Art. 3, Anexa I la RUE 651/2014, paragrafele 3 și 4 se menționează situația în care întreprinderile sunt considerate afiliate prin intermediul unei persoane fizice sau al unui grup de persoane fizice. În cuprinsul cererii de finanțare și a planului de afaceri trebuie să se demonstreze faptul că grupul de persoane fizice nu acționează solidar.</w:t>
              <w:br/>
              <w:t xml:space="preserve">Pentru a evidenția și clarifica statutul de microîntreprindere al societății pentru care intenționați să depuneți un proiect în cadrul apelului în discuție, vă rugăm să parcurgeți cu precădere Anexa 4a) Declarație privind încadrarea întreprinderii în categoria IMM - microîntreprindere și Anexa 4b) Regulile, principiile și recomandările de mai jos sunt destinate potențialilor solicitanți, ca sprijin în completarea Declarației privind încadrarea întreprinderii în categoria microîntreprindere, documente disponibile pe site-ul ministerului, la </w:t>
            </w:r>
            <w:hyperlink r:id="rId2" w:tgtFrame="_new">
              <w:r>
                <w:rPr>
                  <w:rStyle w:val="Hyperlink"/>
                  <w:rFonts w:eastAsia="" w:ascii="Trebuchet MS" w:hAnsi="Trebuchet MS" w:eastAsiaTheme="majorEastAsia"/>
                  <w:sz w:val="22"/>
                  <w:szCs w:val="22"/>
                  <w:lang w:val="en-US" w:eastAsia="en-US" w:bidi="ar-SA"/>
                </w:rPr>
                <w:t>https://mfe.gov.ro/ghiduri_ptj/ghidul-solicitantului-pentru-interventii-care-sprijina-dezvoltarea-intreprinderilor-si-a-antreprenoriatului/</w:t>
              </w:r>
            </w:hyperlink>
            <w:r>
              <w:rPr>
                <w:rFonts w:ascii="Trebuchet MS" w:hAnsi="Trebuchet MS"/>
                <w:sz w:val="22"/>
                <w:szCs w:val="22"/>
                <w:lang w:val="en-US" w:eastAsia="en-US" w:bidi="ar-SA"/>
              </w:rPr>
              <w:t>.</w:t>
              <w:br/>
              <w:t>Realizarea acestui exercițiu este unul obligatoriu în procesul de transmitere a cererii de finanțare (Anexa 4a) este document obligatoriu de transmis) și, de asemenea, vă va ajuta să efectuați o încadrare corectă a societății pentru care doriți să obțineți finanțare, eliminând riscul nerespectării condiției de eligibilitate referitoare la încadrarea solicitantului în categoria de microîntreprindere cumulată cu celelalte cerințe menționate în secțiunea 5.1.2 Categorii de solicitanți eligibili din Ghidul solicitantului.</w:t>
            </w:r>
          </w:p>
        </w:tc>
      </w:tr>
      <w:tr>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4</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41670/09.04.2025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1.Lucrările de renovare a spațiului în care societatea își desfășoară activitatea în cadrul sediului/punctului de lucru sunt considerate investiții în infrastructură?</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2.Ce documente sunt necesare pentru a demonstra că solicitantul a desfășurat/nu a desfășurat activitate economică la punctul de lucru vizat de investiție?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 xml:space="preserve">Vă rugăm să ne clarificați următorul scenariu. </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Dacă o întreprindere având sediul social în jud. Alba (județ ce nu face parte din zona vizată de apel) solicită finanțare în cadrul apelului, pentru un punct de lucru/sediu secundar nou înființat în urma cererii de finanțare în județul Mureș (județ vizat de apel), este obligată să realizeze investiții în infrastructură? Și care sunt acestea: lucrări de construire, lucrări de renovare, etc?</w:t>
            </w:r>
          </w:p>
        </w:tc>
        <w:tc>
          <w:tcPr>
            <w:tcW w:w="5113" w:type="dxa"/>
            <w:tcBorders/>
          </w:tcPr>
          <w:p>
            <w:pPr>
              <w:pStyle w:val="Normal"/>
              <w:widowControl/>
              <w:spacing w:lineRule="auto" w:line="240" w:before="0" w:after="0"/>
              <w:jc w:val="both"/>
              <w:rPr>
                <w:rFonts w:ascii="Trebuchet MS" w:hAnsi="Trebuchet MS"/>
                <w:sz w:val="22"/>
                <w:szCs w:val="22"/>
              </w:rPr>
            </w:pPr>
            <w:r>
              <w:rPr>
                <w:rFonts w:eastAsia="Aptos" w:cs="" w:ascii="Trebuchet MS" w:hAnsi="Trebuchet MS"/>
                <w:kern w:val="2"/>
                <w:sz w:val="22"/>
                <w:szCs w:val="22"/>
                <w:lang w:val="en-US" w:eastAsia="en-US" w:bidi="ar-SA"/>
              </w:rPr>
              <w:t>În raport cu cele semnalate de dumneavoastră, vă comunică următoarele:</w:t>
              <w:br/>
              <w:t>Sunt considerate investiții în infrastructură acele lucrări pentru care este necesară emiterea autorizației de construire conform Legii nr. 50/1991, republicată, cu modificările și completările ulterioare.</w:t>
              <w:br/>
              <w:t>Documentele necesare pentru a demonstra că solicitantul a desfășurat/nu a desfășurat activitate economică la punctul de lucru vizat de investiție sunt certificatul constatator și/sau rezoluție din partea ONRC.</w:t>
              <w:br/>
              <w:t>În același context al determinării corecte a eligibilității, vă recomandăm ca, înainte de a începe completarea cererii de finanțare, să vă asigurați că ați parcurs toate informațiile prezentate în acest ghid, inclusiv în anexe și să vă asigurați că ați înțeles toate aspectele legate de accesarea finanțării.</w:t>
            </w:r>
          </w:p>
        </w:tc>
      </w:tr>
      <w:tr>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5</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43470.14.04.2025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Vă scriem pentru a solicita o clarificare privind conformitatea Certificatului de Urbanism emis pentru proiectul nostru în cadrul Programului Tranziție Justă - Prioritățile 1-6, componenta „Sprijin pentru creșterea durabilă a microîntreprinderilor și crearea de locuri de muncă.”</w:t>
              <w:br/>
              <w:t>Certificatul de Urbanism emis specifică scopul „elaborare PUZ, întocmire DTAC și obținere avize,” iar terenul vizat este situat în extravilan, ceea ce impune procedura de urbanizare. Conform prevederilor din ghid, dorim să clarificăm următoarele: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1.Se consideră că acest certificat de urbanism, având scopul declarat conform modelului atașat, respectă cerința de a fi emis pentru obiectivele de investiție ale proiectului?</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2.Sunt necesare mențiuni suplimentare în certificatul de urbanism pentru a asigura conformitatea cu cerințele aplicabile proiectului?</w:t>
            </w:r>
          </w:p>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r>
          </w:p>
        </w:tc>
        <w:tc>
          <w:tcPr>
            <w:tcW w:w="5113" w:type="dxa"/>
            <w:tcBorders/>
          </w:tcPr>
          <w:p>
            <w:pPr>
              <w:pStyle w:val="NormalWeb"/>
              <w:widowControl/>
              <w:spacing w:before="0" w:after="0"/>
              <w:jc w:val="both"/>
              <w:rPr>
                <w:rFonts w:ascii="Trebuchet MS" w:hAnsi="Trebuchet MS"/>
                <w:sz w:val="22"/>
                <w:szCs w:val="22"/>
              </w:rPr>
            </w:pPr>
            <w:r>
              <w:rPr>
                <w:rFonts w:ascii="Trebuchet MS" w:hAnsi="Trebuchet MS"/>
                <w:sz w:val="22"/>
                <w:szCs w:val="22"/>
                <w:lang w:val="en-US" w:eastAsia="en-US" w:bidi="ar-SA"/>
              </w:rPr>
              <w:t>În raport cu cele semnalate de dumneavoastră, vă comunicăm următoarele:</w:t>
              <w:br/>
              <w:t>La depunerea cererii de finanțare se vor anexa documentele prevăzute în secțiunea 7.4 Anexe și documente obligatorii la depunerea cererii din Ghidul solicitantului, în funcție de tipul proiectului și tipul investiției pentru care solicitați finanțare.</w:t>
              <w:br/>
              <w:t>De asemenea, este foarte important ca, în cererea de finanțare și planul de afaceri, prin prezentarea proiectului propus, să fie reflectat modul în care Certificatul de Urbanism emis acoperă toate necesitățile tipului de proiect propus și obiectivele de investiție.</w:t>
            </w:r>
          </w:p>
        </w:tc>
      </w:tr>
      <w:tr>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6</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43474/14.04.2025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În bilanțul pentru anul fiscal 2024, estimăm pentru prima dată o depășire a pragului de 2 milioane EUR la activele totale. În acest context, dorim să înțelegem dacă această situație poate duce la pierderea statutului de microîntreprindere și implică efecte asupra eligibilității noastre în cadrul Programului Tranziție Justă.</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În mod specific, dorim să clarificăm următoarele:</w:t>
            </w:r>
          </w:p>
          <w:p>
            <w:pPr>
              <w:pStyle w:val="NormalWeb"/>
              <w:widowControl/>
              <w:numPr>
                <w:ilvl w:val="0"/>
                <w:numId w:val="3"/>
              </w:numPr>
              <w:spacing w:before="280" w:after="0"/>
              <w:jc w:val="both"/>
              <w:rPr>
                <w:rFonts w:ascii="Trebuchet MS" w:hAnsi="Trebuchet MS"/>
                <w:sz w:val="22"/>
                <w:szCs w:val="22"/>
              </w:rPr>
            </w:pPr>
            <w:r>
              <w:rPr>
                <w:rFonts w:ascii="Trebuchet MS" w:hAnsi="Trebuchet MS"/>
                <w:sz w:val="22"/>
                <w:szCs w:val="22"/>
                <w:lang w:val="en-US" w:eastAsia="en-US" w:bidi="ar-SA"/>
              </w:rPr>
              <w:t>Regula celor doi ani consecutivi: Este necesar ca depășirea pragului de 2 milioane EUR la active să fie prezentă în doi ani fiscali consecutivi (ex.: 2023 și 2024) pentru ca firma să piardă statutul de microîntreprindere?</w:t>
            </w:r>
          </w:p>
          <w:p>
            <w:pPr>
              <w:pStyle w:val="NormalWeb"/>
              <w:widowControl/>
              <w:numPr>
                <w:ilvl w:val="0"/>
                <w:numId w:val="3"/>
              </w:numPr>
              <w:spacing w:before="0" w:after="280"/>
              <w:jc w:val="both"/>
              <w:rPr>
                <w:rFonts w:ascii="Trebuchet MS" w:hAnsi="Trebuchet MS"/>
                <w:sz w:val="22"/>
                <w:szCs w:val="22"/>
              </w:rPr>
            </w:pPr>
            <w:r>
              <w:rPr>
                <w:rFonts w:ascii="Trebuchet MS" w:hAnsi="Trebuchet MS"/>
                <w:sz w:val="22"/>
                <w:szCs w:val="22"/>
                <w:lang w:val="en-US" w:eastAsia="en-US" w:bidi="ar-SA"/>
              </w:rPr>
              <w:t>Menținerea altor criterii: Dacă numărul de salariați și cifra de afaceri rămân în limitele specifice microîntreprinderilor, este afectat statutul nostru doar din cauza depășirii pragului de active în bilanțul 2024?</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Vă mulțumim anticipat pentru sprijinul acordat!</w:t>
            </w:r>
          </w:p>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r>
          </w:p>
        </w:tc>
        <w:tc>
          <w:tcPr>
            <w:tcW w:w="5113"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În raport cu cele semnalate de dumneavoastră, vă comunică următoarele:</w:t>
              <w:br/>
              <w:t xml:space="preserve">Pentru a evidenția și clarifica statutul de microîntreprindere al societății pentru care intenționați să depuneți un proiect în cadrul apelului în discuție, vă rugăm să parcurgeți cu precădere Anexa 4a) Declarație privind încadrarea întreprinderii în categoria IMM - microîntreprindere și Anexa 4b) Regulile, principiile și recomandările de mai jos sunt destinate potențialilor solicitanți, ca sprijin în completarea Declarației privind încadrarea întreprinderii în categoria microîntreprindere, documente disponibile pe site-ul ministerului, la </w:t>
            </w:r>
            <w:hyperlink r:id="rId3" w:tgtFrame="_new">
              <w:r>
                <w:rPr>
                  <w:rStyle w:val="Hyperlink"/>
                  <w:rFonts w:eastAsia="" w:ascii="Trebuchet MS" w:hAnsi="Trebuchet MS" w:eastAsiaTheme="majorEastAsia"/>
                  <w:sz w:val="22"/>
                  <w:szCs w:val="22"/>
                  <w:lang w:val="en-US" w:eastAsia="en-US" w:bidi="ar-SA"/>
                </w:rPr>
                <w:t>https://mfe.gov.ro/ghiduri_ptj/ghidul-solicitantului-pentru-interventii-care-sprijina-dezvoltarea-intreprinderilor-si-a-antreprenoriatului/</w:t>
              </w:r>
            </w:hyperlink>
            <w:r>
              <w:rPr>
                <w:rFonts w:ascii="Trebuchet MS" w:hAnsi="Trebuchet MS"/>
                <w:sz w:val="22"/>
                <w:szCs w:val="22"/>
                <w:lang w:val="en-US" w:eastAsia="en-US" w:bidi="ar-SA"/>
              </w:rPr>
              <w:t>.</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Realizarea acestui exercițiu este unul obligatoriu în procesul de transmitere a cererii de finanțare (Anexa 4a este document obligatoriu de transmis) și, de asemenea, vă va ajuta să efectuați o încadrare corectă a societății pentru care doriți să obțineți finanțare, eliminând riscul nerespectării condiției de eligibilitate referitoare la încadrarea solicitantului în categoria de microîntreprindere cumulată cu celelalte cerințe menționate în secțiunea 5.1.2 Categorii de solicitanți eligibili din Ghidul solicitantului.</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În același context al determinării corecte a eligibilității, vă recomandăm ca, înainte de a începe completarea cererii de finanțare, să vă asigurați că ați parcurs toate informațiile prezentate în acest ghid, inclusiv în anexe și să vă asigurați că ați înțeles toate aspectele legate de accesarea finanțării.</w:t>
            </w:r>
          </w:p>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r>
          </w:p>
        </w:tc>
      </w:tr>
      <w:tr>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7</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43486/14.04.2025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Dorim să solicităm o clarificare în cadrul Priorităților 1-6, componenta „Sprijin pentru creșterea durabilă a microîntreprinderilor și crearea de locuri de muncă” cu privire la criteriul conform căruia „Solicitantul a înregistrat un număr mediu de salariați de cel puțin 1 în anul fiscal anterior deschiderii apelului de proiecte”. În mod specific, avem următoarele întrebări:</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1.Interpretarea numărului mediu de salariați:</w:t>
              <w:br/>
              <w:t>Ce interval de timp este luat în considerare în calculul acestui indicator? Este necesar ca solicitantul să fi avut salariați activi pe parcursul întregului an fiscal anterior sau este suficient ca, în medie, să existe cel puțin un salariat (chiar dacă nu pe toată perioada)?</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2.Metodologia de calcul:</w:t>
              <w:br/>
              <w:t>Este acceptabil ca numărul mediu de salariați să fie rotunjit conform regulilor de raportare din bilanț? În cazul în care numărul calculat este subunitar (ex: 0,58), cum trebuie raportat acest indicator?</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3.Eligibilitatea în cazul angajării parțiale:</w:t>
              <w:br/>
              <w:t>Dacă solicitantul a avut un angajat pe o perioadă mai scurtă (ex: 7 luni), dar numărul mediu calculat rotunjit indică 1 salariat, aceasta respectă cerința de eligibilitate?</w:t>
            </w:r>
          </w:p>
        </w:tc>
        <w:tc>
          <w:tcPr>
            <w:tcW w:w="5113"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Referitor la solicitarea dumneavoastră, vă informăm:</w:t>
              <w:br/>
              <w:t>În ghidul postat pe site-ul MIPE în data de 16.04.2025, condiția la care faceți referire s-a modificat astfel: „......, numărul minim obligatoriu de locuri de muncă, respectiv număr mediu începând de la 0 angajați, fără a lua în calcul funcția de administrator sau asociat,.....”</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Totuși, referitor la cele semnalate, vă comunicăm următoarele:</w:t>
            </w:r>
          </w:p>
          <w:p>
            <w:pPr>
              <w:pStyle w:val="NormalWeb"/>
              <w:widowControl/>
              <w:numPr>
                <w:ilvl w:val="0"/>
                <w:numId w:val="4"/>
              </w:numPr>
              <w:spacing w:before="280" w:after="0"/>
              <w:jc w:val="both"/>
              <w:rPr>
                <w:rFonts w:ascii="Trebuchet MS" w:hAnsi="Trebuchet MS"/>
                <w:sz w:val="22"/>
                <w:szCs w:val="22"/>
              </w:rPr>
            </w:pPr>
            <w:r>
              <w:rPr>
                <w:rFonts w:ascii="Trebuchet MS" w:hAnsi="Trebuchet MS"/>
                <w:sz w:val="22"/>
                <w:szCs w:val="22"/>
                <w:lang w:val="en-US" w:eastAsia="en-US" w:bidi="ar-SA"/>
              </w:rPr>
              <w:t>Numărul de locuri de muncă este aferent anului 2024;</w:t>
            </w:r>
          </w:p>
          <w:p>
            <w:pPr>
              <w:pStyle w:val="NormalWeb"/>
              <w:widowControl/>
              <w:numPr>
                <w:ilvl w:val="0"/>
                <w:numId w:val="4"/>
              </w:numPr>
              <w:spacing w:before="0" w:after="0"/>
              <w:jc w:val="both"/>
              <w:rPr>
                <w:rFonts w:ascii="Trebuchet MS" w:hAnsi="Trebuchet MS"/>
                <w:sz w:val="22"/>
                <w:szCs w:val="22"/>
              </w:rPr>
            </w:pPr>
            <w:r>
              <w:rPr>
                <w:rFonts w:ascii="Trebuchet MS" w:hAnsi="Trebuchet MS"/>
                <w:sz w:val="22"/>
                <w:szCs w:val="22"/>
                <w:lang w:val="en-US" w:eastAsia="en-US" w:bidi="ar-SA"/>
              </w:rPr>
              <w:t>Numărul de salariați se preia din bilanțul contabil încheiat, datele vor fi verificate de către AM pe site-ul mfinante.ro;</w:t>
            </w:r>
          </w:p>
          <w:p>
            <w:pPr>
              <w:pStyle w:val="NormalWeb"/>
              <w:widowControl/>
              <w:numPr>
                <w:ilvl w:val="0"/>
                <w:numId w:val="4"/>
              </w:numPr>
              <w:spacing w:before="0" w:after="280"/>
              <w:jc w:val="both"/>
              <w:rPr>
                <w:rFonts w:ascii="Trebuchet MS" w:hAnsi="Trebuchet MS"/>
                <w:sz w:val="22"/>
                <w:szCs w:val="22"/>
              </w:rPr>
            </w:pPr>
            <w:r>
              <w:rPr>
                <w:rFonts w:ascii="Trebuchet MS" w:hAnsi="Trebuchet MS"/>
                <w:sz w:val="22"/>
                <w:szCs w:val="22"/>
                <w:lang w:val="en-US" w:eastAsia="en-US" w:bidi="ar-SA"/>
              </w:rPr>
              <w:t>Numărul de salariați se preia din bilanțul contabil încheiat, datele vor fi verificate de către AM pe site-ul mfinante.ro.</w:t>
            </w:r>
          </w:p>
        </w:tc>
      </w:tr>
      <w:tr>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8</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43489/14.04.2025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Situația noastră este următoarea:</w:t>
              <w:br/>
              <w:t>• Unul dintre acționarii societății noastre (persoană fizică - PF) deține 24% din capitalul firmei noastre.</w:t>
              <w:br/>
              <w:t>• Același acționar deține peste 30% din capitalul unei firme medii, care are mai mult de 50 de salariați.</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Dorim să înțelegem cum influențează această situație statutul firmei noastre, având în vedere regulile privind întreprinderile autonome, partenere sau legate. În mod specific:</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1.Deținerea de 24% în firma noastră creează o legătură care ne-ar putea afecta statutul de microîntreprindere?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2.Participația de peste 30% în firma medie impune cumularea indicatorilor economici (angajați, cifră de afaceri, active) ai firmei medii cu cei ai firmei noastre?</w:t>
            </w:r>
          </w:p>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r>
          </w:p>
        </w:tc>
        <w:tc>
          <w:tcPr>
            <w:tcW w:w="5113"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În raport cu cele semnalate de dumneavoastră, vă comunică următoarele:</w:t>
              <w:br/>
              <w:t xml:space="preserve">Manualul utilizatorului pentru definiția IMM-urilor al Comisiei Europene este un document clarificator cu privire la calcularea datelor pentru o întreprindere (link: </w:t>
            </w:r>
            <w:hyperlink r:id="rId4" w:tgtFrame="_new">
              <w:r>
                <w:rPr>
                  <w:rStyle w:val="Hyperlink"/>
                  <w:rFonts w:eastAsia="" w:ascii="Trebuchet MS" w:hAnsi="Trebuchet MS" w:eastAsiaTheme="majorEastAsia"/>
                  <w:sz w:val="22"/>
                  <w:szCs w:val="22"/>
                  <w:lang w:val="en-US" w:eastAsia="en-US" w:bidi="ar-SA"/>
                </w:rPr>
                <w:t>https://op.europa.eu/ro/publication-detail/-/publication/756d9260-ee54-11ea-991b-01aa75ed71a1</w:t>
              </w:r>
            </w:hyperlink>
            <w:r>
              <w:rPr>
                <w:rFonts w:ascii="Trebuchet MS" w:hAnsi="Trebuchet MS"/>
                <w:sz w:val="22"/>
                <w:szCs w:val="22"/>
                <w:lang w:val="en-US" w:eastAsia="en-US" w:bidi="ar-SA"/>
              </w:rPr>
              <w:t>).</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Considerăm că informațiile prezentate de dumneavoastră sunt incomplete. Conform paragrafului 3 al art. 3 alin. (3) din Anexa I la Regulamentul (UE) nr. 651/2014, sunt considerate întreprinderi afiliate întreprinderile între care există relațiile prin intermediul unei persoane fizice sau al unui grup de persoane fizice. Prin urmare, nu se cunosc date privind piețele pe care întreprinderile activează și nici forma completă a acționariatului.</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În același context al determinării corecte a eligibilității, vă recomandăm ca, înainte de a începe completarea cererii de finanțare, să vă asigurați că ați parcurs toate informațiile prezentate în acest ghid, inclusiv în anexe și să vă asigurați că ați înțeles toate aspectele legate de accesarea finanțării.</w:t>
            </w:r>
          </w:p>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r>
          </w:p>
        </w:tc>
      </w:tr>
      <w:tr>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9</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45966/22.04.2025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Obiectivul nostru este demararea unui proiect integrat cu denumirea „Hala de Producție sisteme de umbrire și protecție solară avansată”, materializat printr-un spațiu nou de producție și dotarea cu utilaje și instalații de lucru.</w:t>
              <w:br/>
              <w:t>Pentru îndeplinirea acestor obiective, prin proiect se dorește construirea unei hale de producție, utilizând o structură construită, nefinalizată și neintabulată. Menționăm că structura NU a fost construită de firma noastră, ci va fi achiziționată de noi în scopul proiectului propus. Menționăm că NU vom solicita fonduri pentru achiziția acestei structuri, ci doar pentru lucrările de construcții necesare finalizării ca spațiu nou de producție și că toate cheltuielile din proiectul propus vor fi demarate după semnarea contractului de finanțare.</w:t>
              <w:br/>
              <w:t>Ne propunem să demarăm un proiect integrat ca spațiu nou de producție, în sensul definit la cap. 5.2, alin. 1), pct. 1) al prezentului Ghid.</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Proiectul se dorește o investiție inițială conform Regulamentului (UE) nr. 651/2014, la pct. 49, și anume „o investiție în active corporale și necorporale legată de demararea unei unități noi, diversificarea producției unei unități prin produse care nu au fost fabricate anterior în unitate”, prin crearea unui spațiu nou, neexistent anterior, realizat prin valorificarea elementelor de construcție expertizate și adăugarea de elemente noi care conduc la finalizarea ansamblului ca o construcție nouă, recepționată și intabulată în Cartea Funciară.</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Construcția, împreună cu dotarea cu active corporale și necorporale, și cu ajutorul forței de muncă conforme cerințelor PTJ, vor constitui un proiect integrat care va susține dezvoltarea economică a microîntreprinderii noastre.</w:t>
            </w:r>
          </w:p>
        </w:tc>
        <w:tc>
          <w:tcPr>
            <w:tcW w:w="5113"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În raport cu cele semnalate de dumneavoastră, vă comunică următoarele: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1.Din cele prezentate rezultă că se vor întreprinde toate măsurile legale în vigoare cu privire la întocmirea expertizei tehnice, întocmirea proiectului tehnic și obținerea autorizației de construire.</w:t>
              <w:br/>
              <w:t>Din situația expusă, reținem că se dorește demararea unui proiect care cuprinde un spațiu nou de producție edificat utilizând o structură existentă, pe care doriți să o achiziționați, investiția propusă presupunând valorificarea unor elemente de construcție expertizate și adăugarea de elemente noi, ulterior intabularea construcției în Cartea Funciară ca și construcție nouă.</w:t>
              <w:br/>
              <w:t>De asemenea, înțelegem că lucrările aferente acestei structuri nu au fost contractate sau efectuate de către societatea pe care o reprezentați.</w:t>
              <w:br/>
              <w:t>Prin urmare, apreciem că proiectul propus respectă atât prevederile art. 2, pct. 49, litera (a) din RUE 2014/651, cât și prevederile de la alin. 1) pct. 1) cap. 5.2, din Ghidul solicitantului.</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2.Pe de altă parte, în ceea ce privește cheltuielile cuprinse în proiect, vă rugăm să aveți în vedere evitarea dublei finanțări, iar cheltuielile cuprinse în bugetul proiectului trebuie să respecte prevederile capitolului 5.4 din Ghid.</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Pentru a vă asigura că sunteți la curent cu eventualele modificări ale condițiilor de accesare, vă recomandăm ca, până la data limită de depunere a cererilor de finanțare în cadrul prezentelor apeluri de proiecte, să consultați periodic website-ul MIPE și pagina de internet a programului, precum și alte comunicări/clarificări pentru accesarea fondurilor în cadrul apelurilor de proiecte asociate prezentului Ghid.</w:t>
            </w:r>
          </w:p>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r>
          </w:p>
        </w:tc>
      </w:tr>
      <w:tr>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10</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46425/23.04.2025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Bună ziua!</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Dorim să ne ajutați cu un răspuns la interpretarea noastră privind punctul 8 din cadrul Anexei 3 la Ghidul solicitantului „Intervenții care sprijină Dezvoltarea întreprinderilor și a antreprenoriatului”, componenta „Sprijin pentru creșterea durabilă a microîntreprinderilor și crearea de locuri de muncă” din cadrul Programului Tranziție Justă 2021 – 2027, respectiv:</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w:t>
            </w:r>
            <w:r>
              <w:rPr>
                <w:rFonts w:ascii="Trebuchet MS" w:hAnsi="Trebuchet MS"/>
                <w:sz w:val="22"/>
                <w:szCs w:val="22"/>
                <w:lang w:val="en-US" w:eastAsia="en-US" w:bidi="ar-SA"/>
              </w:rPr>
              <w:t>Solicitantul a înregistrat un număr mediu începând de la 0 angajați, fără a lua în calcul funcția de administrator sau asociat, în anul fiscal anterior deschiderii apelului de proiecte. Păstrarea numărului mediu de salariați cel puțin la nivelul înregistrat în exercițiul financiar anterior deschiderii apelului de proiecte, condiție de eligibilitate aplicabilă pe tot parcursul perioadei de evaluare, selecție, contractare, implementare și respectiv pe perioada în care trebuie menținut caracterul durabil al investiției (3/5 ani, după caz de la efectuarea plății finale în cadrul contractului de finanțare sau în termenul prevăzut de ajutorul de stat, oricare intervine ultimul). Înțeleg că condiția referitoare la păstrarea numărului mediu de salariați cel puțin la nivelul înregistrat în exercițiul financiar anterior deschiderii apelului de proiecte este considerată respectată, în cadrul etapei de contractare, prin verificarea numărului mediu anual de salariați înregistrat în exercițiul/exercițiile financiar(e) încheiat(e), aferent(e) procesului de evaluare, selecție și contractare, în cazul în care a fost încheiat un exercițiu financiar în perioada procesului menționat. Dacă în anul fiscal care se încheie pe parcursul procesului de evaluare, selecție și contractare numărul mediu începând de la 0 angajați, fără a lua în calcul funcția de administrator sau asociat, nu este menținut, proiectul se respinge de la finanțare.”</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Din paragraful de mai sus rezultă faptul că sunt eligibile pentru depunere și societățile care în anul 2024 au înregistrat 0 angajați. Totodată se menționează obligativitatea menținerii în timpul perioadei de selecție, evaluare etc. a minimum numărului mediu de salariați înregistrat în anul anterior lansării apelului de proiecte. Întrebarea noastră este: dacă în timpul scurs de la depunerea proiectului până la procesul de evaluare intervine un nou exercițiu financiar, trebuie menținut nr. mediu de salariați din anul anterior cu strictețe (identic)? În cazul în care în anul 2025 intervine nr. mediu de salariați 1 în loc de 0, se consideră că nu a fost respectată condiția de eligibilitate iar proiectul se respinge de la finanțare?</w:t>
            </w:r>
          </w:p>
        </w:tc>
        <w:tc>
          <w:tcPr>
            <w:tcW w:w="5113"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en-US" w:eastAsia="en-US" w:bidi="ar-SA"/>
              </w:rPr>
              <w:t>În raport cu cele semnalate de dumneavoastră, vă comunică următoarele:</w:t>
              <w:br/>
              <w:t>Așa după cum se menționează în prima parte a textului citat de dumneavoastră, este vorba de păstrarea numărului mediu de salariați, cel puțin la nivelul înregistrat în exercițiul financiar anterior deschiderii apelului de proiecte.</w:t>
              <w:br/>
              <w:t>Prin urmare, conform ipotezei prezentate de dumneavoastră, dacă în anul 2025 numărul mediu de salariați este 1, comparativ cu 0 în anul 2024, cererea de finanțare nu se respinge.</w:t>
              <w:br/>
              <w:t>În același context al determinării corecte a eligibilității, vă recomandăm ca, înainte de a începe completarea cererii de finanțare, să vă asigurați că ați parcurs toate informațiile prezentate în acest ghid, inclusiv în anexe și să vă asigurați că ați înțeles toate aspectele legate de accesarea finanțării.</w:t>
            </w:r>
          </w:p>
        </w:tc>
      </w:tr>
      <w:tr>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11</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46429/23.04.2025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Dorim să ne ajutați cu un răspuns la interpretarea noastră privind punctele 15 și 16 din cadrul Anexei 3 la Ghidul solicitantului „Intervenții care sprijină Dezvoltarea întreprinderilor și a antreprenoriatului”, componenta „Sprijin pentru creșterea durabilă a microîntreprinderilor și crearea de locuri de muncă” din cadrul Programului Tranziție Justă 2021 – 2027, respectiv:</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w:t>
            </w:r>
            <w:r>
              <w:rPr>
                <w:rFonts w:ascii="Trebuchet MS" w:hAnsi="Trebuchet MS"/>
                <w:sz w:val="22"/>
                <w:szCs w:val="22"/>
                <w:lang w:val="en-US" w:eastAsia="en-US" w:bidi="ar-SA"/>
              </w:rPr>
              <w:t>15. La depunerea cererii de finanțare, solicitantul are deja domeniul/domeniile de activitate eligibile vizat/e de investiție, înscris/e în obiectul de activitate (conform certificatului constatator ORC), indiferent dacă reprezintă activitatea principală sau secundară a întreprinderii.”</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și</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w:t>
            </w:r>
            <w:r>
              <w:rPr>
                <w:rFonts w:ascii="Trebuchet MS" w:hAnsi="Trebuchet MS"/>
                <w:sz w:val="22"/>
                <w:szCs w:val="22"/>
                <w:lang w:val="en-US" w:eastAsia="en-US" w:bidi="ar-SA"/>
              </w:rPr>
              <w:t>16. La depunerea cererii de finanțare, solicitantul are deja domeniul/domeniile de activitate eligibile vizat/e de investiție, autorizat/e la sediul (principal sau secundar) identificat ca loc de implementare a proiectului. Domeniul/domeniile de activitate trebuie declarat/e și autorizat/e distinct la locul de implementare a proiectului. Prin excepție, în cazul unei cereri de finanțare care presupune înființarea unui sediu secundar (punct de lucru) ori activarea într-un nou domeniu de activitate ca urmare a realizării investiției, solicitantul se va angaja (prin declarația unică) ca, până la finalizarea implementării proiectului, să înregistreze locul de implementare ca punct de lucru.”</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În ceea ce privesc paragrafele de mai sus, întrebarea noastră este următoarea: având în vedere noile modificări ONRC unde societățile nu pot avea activități autorizate decât cele desfășurate și înscrise în actul constitutiv, cum se poate proceda în această situație?</w:t>
            </w:r>
          </w:p>
        </w:tc>
        <w:tc>
          <w:tcPr>
            <w:tcW w:w="5113"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en-US" w:eastAsia="en-US" w:bidi="ar-SA"/>
              </w:rPr>
              <w:t>În raport cu cele semnalate de dumneavoastră, vă comunică următoarele:</w:t>
              <w:br/>
              <w:t>În situația unor proiecte care presupun înființarea unui sediu secundar ori activarea într-un nou domeniu de activitate, solicitantul se va angaja ca, până la finalizarea implementării proiectului, să înregistreze locul de implementare ca punct de lucru.</w:t>
              <w:br/>
              <w:t>În același context al determinării corecte a eligibilității, vă recomandăm ca, înainte de a începe completarea cererii de finanțare, să vă asigurați că ați parcurs toate informațiile prezentate în acest ghid, inclusiv în anexe și să vă asigurați că ați înțeles toate aspectele legate de accesarea finanțării.</w:t>
            </w:r>
          </w:p>
        </w:tc>
      </w:tr>
      <w:tr>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12</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FN/24.04.2025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Bună ziua,</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Referitor la linia de finanțare pentru microîntreprinderi prin Programul Tranziție Justă dorim, dacă puteți, să ne clarificați următoarele aspecte: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1.Societățile care au înregistrat un număr mediu de 0 (Zero) angajați la 2024 sunt eligibile? Din exprimarea din ghid nu rezultă clar acest lucru.</w:t>
              <w:br/>
              <w:t>Ne încurcă în înțelegere formularea: „Solicitantul a înregistrat un număr mediu de salariați începând de la 0 angajați, fără a lua în calcul funcția de administrator sau asociat, în anul fiscal anterior deschiderii apelului de proiecte.”</w:t>
              <w:br/>
              <w:t>Noi înțelegem că orice societate poate începe de la 0 angajați. Însă nu vedem sensul exprimării, câtă vreme orice societate are cel puțin zero. Și, de asemenea, ne încurcă formularea referitoare la angajați sau asociați. O exprimare clară în acest sens ne-ar ajuta.</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2.Societățile care au în prezent sedii/puncte de lucru în alte județe decât cel vizat pot depune proiecte în cazul în care proiectul vizează o investiție în infrastructură? Punctul de lucru va fi deschis conform cerințelor din ghid, până la finalul implementării.</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3.Schimbarea asociaților înainte de depunerea proiectului este văzută ca și o condiție artificială? Menționăm că intențiile sunt clare de a păstra noua structură pe toată perioada proiectului.</w:t>
            </w:r>
          </w:p>
        </w:tc>
        <w:tc>
          <w:tcPr>
            <w:tcW w:w="5113"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În raport cu cele semnalate de dumneavoastră, vă comunică următoarele: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1.Microîntreprinderile care au înregistrat un număr mediu de 0 (zero) angajați în anul 2024 sunt eligibile;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2.Microîntreprinderile care au sedii/puncte de lucru în alte județe decât cele vizate pot depune proiecte doar în cazul în care acesta vizează investiții în infrastructură;</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3.Evaluarea tehnică și financiară se realizează de către comisiile de evaluare constituite la nivelul OI PTJ, în conformitate cu criteriile de evaluare tehnică și financiară prevăzute în cadrul Anexei 9a) și 9b) la ghid.</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În același context al determinării corecte a eligibilității, vă recomandăm ca, înainte de a începe completarea cererii de finanțare, să vă asigurați că ați parcurs toate informațiile prezentate în acest ghid, inclusiv în anexe și să vă asigurați că ați înțeles toate aspectele legate de accesarea finanțării.</w:t>
            </w:r>
          </w:p>
        </w:tc>
      </w:tr>
      <w:tr>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13</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47934/24.04.2024</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În contextul intenției de a depune o cerere de finanțare în cadrul apelului „Sprijin pentru dezvoltarea microîntreprinderilor” – Prioritatea 3 Dolj, vă rugăm să ne sprijiniți cu o clarificare privind situația codului CAEN 2361 – Fabricarea produselor din beton pentru construcții.</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Am constatat că acest cod este inclus în Anexa 2 – Lista codurilor CAEN neeligibile, însă dorim să înțelegem dacă această neeligibilitate este aplicabilă în mod general sau doar în măsura în care activitățile desfășurate intră sub incidența Anexei I la Directiva 2003/87/CE, respectiv:</w:t>
              <w:br/>
              <w:t>Activitățile privind producerea clincherului de ciment sau a varului nestins, fabricarea sticlei, inclusiv a fibrei de sticlă, fabricarea produselor ceramice prin ardere, în special a țiglelor, cărămizilor, cărămizilor refractare, dalelor, plăcilor de gresie sau faianță.</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Activitatea vizată prin proiectul nostru nu implică niciuna dintre aceste procese industriale, ci vizează strict producerea de elemente din beton prefabricat pentru construcții, în conformitate cu codul CAEN 2361, dar fără impact semnificativ de mediu sau emisii industriale relevante.</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Având în vedere interpretările posibile, precum și riscul respingerii pe motiv de eligibilitate, vă rugăm respectuos să ne comunicați dacă există o posibilitate de exceptare sau clarificare în cazul în care activitatea desfășurată sub codul CAEN 2361 nu este asociată activităților enumerate în Directiva 2003/87/CE.</w:t>
            </w:r>
          </w:p>
        </w:tc>
        <w:tc>
          <w:tcPr>
            <w:tcW w:w="5113"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În raport cu cele semnalate de dumneavoastră, vă comunică următoarele:</w:t>
              <w:br/>
              <w:t>Codul CAEN la care faceți referire se regăsește în Anexa 2 – Lista codurilor CAEN neeligibile la Schema de măsuri de ajutor de minimis, aprobată prin OMIPE nr. 654 din 01.04.2025. Prin urmare, nu se pot depune proiecte pentru activitatea care vizează fabricarea produselor din beton pentru construcții.</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În același context al determinării corecte a eligibilității, vă recomandăm ca, înainte de a începe completarea cererii de finanțare, să vă asigurați că ați parcurs toate informațiile prezentate în acest ghid, inclusiv în anexe și să vă asigurați că ați înțeles toate aspectele legate de accesarea finanțării.</w:t>
            </w:r>
          </w:p>
        </w:tc>
      </w:tr>
      <w:tr>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14</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49043/29.04.2025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Vă rugăm clarificați:</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1.a) În cazul în care solicitantul înființează punctul de lucru într-un spațiu existent, închiriat, și autorizează codul CAEN la punctul de lucru în luna mai 2025, desfășoară activitate la punctul de lucru și înscrie proiectul în luna iulie 2025, cum demonstrează că a desfășurat activitate în perioada mai 2025 – iulie 2025?</w:t>
              <w:br/>
              <w:t>Este suficient certificatul constatator emis de ONRC și declarația pe proprie răspundere a solicitantului? Dacă nu este suficient, vă rugăm clarificați cu ce alte înscrisuri va dovedi solicitantul desfășurarea activității la punctul de lucru.</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b) În cazul în care solicitantul înființează punctul de lucru într-un spațiu existent, închiriat, autorizează codul CAEN la punctul de lucru în luna mai 2025 și înscrie proiectul în luna iulie 2025, dar nu desfășoară activitate la punctul de lucru, sunt considerate investiții în infrastructură investițiile în amenajarea spațiului (execuția de lucrări care nu necesită obținerea autorizației de construire), astfel încât proiectul să fie eligibil? Este obligatoriu ca aceste investiții în amenajarea spațiului să fie incluse în categoria cheltuielilor eligibile? Sau pot fi incluse și în categoria cheltuielilor neeligibile?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2.a) În cazul unui proiect care vizează înființarea/modernizarea unui punct de lucru în domeniul medical într-o clădire existentă, executarea de compartimentări interioare care nu necesită obținerea autorizației de construire, necesare pentru realizarea fluxului de prestări servicii, este considerată modificare/îmbunătățire substanțială?</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b) În cazul unui proiect care vizează înființarea unui punct/modernizarea unui punct de lucru într-o clădire existentă, lucrările de schimbare a geamurilor existente cu geamuri termopan, care conduc la creșterea eficienței energetice, lucrări care nu necesită obținerea autorizației de construire, sunt considerate modificări/îmbunătățiri substanțiale?</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c) În cazul unui proiect care vizează modernizarea activității de cazare, în cadrul unei pensiuni turistice. Clădirea în care se desfășoară activitatea nu dispune de balcoane la acest moment. Prin proiect se dorește realizarea de balcoane, fapt care va conduce la creșterea confortului pentru turiști, precum și la creșterea atractivității pensiunii. Este această investiție...</w:t>
            </w:r>
          </w:p>
        </w:tc>
        <w:tc>
          <w:tcPr>
            <w:tcW w:w="5113"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În raport cu cele semnalate de dumneavoastră, vă comunică următoarele: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1.a Pentru demonstrarea activității economice la punctul de lucru se va depune certificat constatator emis de ONRC.</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1.b Execuția de lucrări care nu necesită obținerea autorizației de construire nu sunt considerate investiții în infrastructură. Prin urmare, un asemenea proiect descris de dumneavoastră nu este eligibil.</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2.În contextul modernizării unui imobil, sunt considerate modernizări acele lucrări pentru care este necesară emiterea autorizației de construire conform Legii nr. 50/1991, republicată, în considerarea cerinței stabilite în secțiunea 5.3.2 Activități eligibile din Ghidul solicitantului.</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3.În cadrul capitolului 8.4.1 se descrie mecanismul de selecție a proiectelor. În cele 4 luni menționate în Ghidul solicitantului sunt descriși pașii urmați ai procesului de evaluare și selecție.</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În același context al determinării corecte a eligibilității, vă recomandăm ca, înainte de a începe completarea cererii de finanțare, să vă asigurați că ați parcurs toate informațiile prezentate în acest ghid, inclusiv în anexe și să vă asigurați că ați înțeles toate aspectele legate de accesarea finanțării.</w:t>
            </w:r>
          </w:p>
        </w:tc>
      </w:tr>
      <w:tr>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15</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47460/24.04.2025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O linie de producție peleți din biomasă este eligibilă pentru finanțare prin Programul Tranziție Justă - Investiții pentru dezvoltarea microîntreprinderilor (cod CAEN Rev.2 1629)?</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Punem această întrebare deoarece anexa la Schema de măsuri de ajutor de stat și de minimis pentru finanțarea investițiilor pentru dezvoltarea IMM care sprijină creșterea durabilă și crearea de locuri de muncă în cadrul Programului Tranziție Justă 2021—2027, aprobată prin Ordinul MIPE nr. 3.996/2023, cu modificările și completările ulterioare, abordează problema producerii de energie din biomasă, însă în cazul liniei de producție peleți nu este vorba de producția propriu-zisă de energie, iar codul CAEN corespunzător (1629) nu figurează în lista activităților excluse de la finanțare.</w:t>
            </w:r>
          </w:p>
        </w:tc>
        <w:tc>
          <w:tcPr>
            <w:tcW w:w="5113"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Anexa 2 la Schema de măsuri de ajutor de minimis, aprobată prin OMIPE nr. 654 din 01.04.2025, cuprinde Lista codurilor CAEN neeligibile. În cadrul acestei anexe nu se găsește codul CAEN la care faceți referire. Prin urmare, activitatea pentru codul CAEN 1629 nu este exclusă de la finanțare.</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În același context al determinării corecte a eligibilității, vă recomandăm ca, înainte de a începe completarea cererii de finanțare, să vă asigurați că ați parcurs toate informațiile prezentate în acest ghid, inclusiv în anexe și să vă asigurați că ați înțeles toate aspectele legate de accesarea finanțării.</w:t>
            </w:r>
          </w:p>
        </w:tc>
      </w:tr>
      <w:tr>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16</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48406/28.04.2025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Vă rugăm respectuos să oferiți răspunsuri clare la următoarele întrebări:</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1.Este eligibil un proiect care vizează exclusiv achiziția de echipamente în două sau mai multe locații de implementare, cu respectarea următoarelor condiții:</w:t>
              <w:br/>
              <w:t>• Toate locațiile se află în aria eligibilă a apelului;</w:t>
              <w:br/>
              <w:t>• Se păstrează clasificarea rural/urban conform ghidului;</w:t>
              <w:br/>
              <w:t>• Solicitantul este același pentru toate punctele de lucru.</w:t>
              <w:br/>
              <w:t>Exemplu concret: două puncte de lucru ale unei societăți care desfășoară activitate de stomatologie, unde sunt necesare echipamente medicale în ambele locații.</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2.Ref.: Locație de implementare proiecte ce vizează achiziția de echipamente</w:t>
              <w:br/>
              <w:t>B. Totodată, pentru proiectele de investiții pentru care nu este necesară obținerea autorizației de construire……. De asemenea, declară că respectă regimul juridic aferent sarcinilor, prin raportare la legislația în vigoare, la data demarării etapei de contractare. AM PTJ/OI PTJ verifică, în etapa de contractare, respectarea acestor condiții</w:t>
              <w:br/>
              <w:t>……………………..</w:t>
              <w:br/>
              <w:t>„Prin excepție, în cazul dreptului de folosință ce reiese dintr-un contract de închiriere/comodat nu este obligatorie depunerea extrasului de carte funciară, însă AM PTJ/OI PTJ poate solicita documente relevante cu privire la situația cadastrală a imobilului.”</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Întrebări:</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1.În situația în care Solicitantul deține un drept real asupra locației de implementare (ex. contract comodat), iar imobilul are înscrise sarcini – ipotecă, etc., proiectul ce vizează achiziția de echipamente este eligibil?</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2.Ce reprezintă alte „documente relevante cu privire la situația cadastrală a imobilului”? Plan de situație?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3.Poate un imobil care nu este intabulat în cartea funciară să fie utilizat ca locație de implementare a proiectului? Exemplu concret: o casă situată în mediul rural, utilizată pentru amenajarea unui atelier de croitorie.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Conform grilei ETF, „Proiectul este promovat de o întreprindere a cărui acționariat este în procent de 50% sau mai mare format din femei?”.</w:t>
              <w:br/>
              <w:t>Întrebare:</w:t>
              <w:br/>
              <w:t>În cazul în care societatea are administrator femeie, dar acționariatul nu este majoritar feminin (sub 50%), criteriul din grila ETF referitor la „acționariat majoritar feminin” este considerat îndeplinit și, implicit, punctat?</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4.Conform grilei ETF, „Cel puțin 75% din totalul de locuri de muncă create prin proiect, trebuie să vizeze persoane cu domiciliul/reședința în zona vizată de apel”.</w:t>
              <w:br/>
              <w:t>Întrebări:</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5.Se acceptă în acest caz ca persoanele să aibă înscris în cartea de identitate viza de flotant (reședința) valabilă la momentul recrutării și angajării?</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6.Pentru restul de maximum 25% din locurile de muncă create prin proiect, se acceptă angajarea de persoane cu altă naționalitate (ex. cetățeni nepalezi)?</w:t>
              <w:br/>
              <w:t>Menționăm că întrebarea este fundamentată în contextul dificultăților reale întâmpinate în identificarea forței de muncă locale, dificultăți evidențiate prin anunțuri repetate de angajare fără rezultate concrete.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7.Conform Grilei ETF: b) Angajarea prioritară a minimum unei persoane din cele care provin din activități economice, dintr-o industrie/ramură economică direct afectată de procesul de transformare în contextul procesului de tranziție justă.</w:t>
              <w:br/>
              <w:t>Întrebare:</w:t>
              <w:br/>
              <w:t>Cum vom demonstra angajarea fix din acea categorie? Ce documente va prezenta beneficiarul pentru demonstrarea îndeplinirii acestui criteriu?</w:t>
              <w:br/>
              <w:t>Există o instituție care sprijină/validează acest demers de angajare din această categorie?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8.Referitor la achiziția de active necorporale</w:t>
              <w:br/>
              <w:t>Sunt considerate eligibile în cadrul proiectelor costurile aferente softurilor care sunt disponibile doar pe bază de abonament lunar (subscriție), având în vedere că:</w:t>
            </w:r>
          </w:p>
          <w:p>
            <w:pPr>
              <w:pStyle w:val="NormalWeb"/>
              <w:widowControl/>
              <w:numPr>
                <w:ilvl w:val="0"/>
                <w:numId w:val="5"/>
              </w:numPr>
              <w:spacing w:before="280" w:after="0"/>
              <w:jc w:val="both"/>
              <w:rPr>
                <w:rFonts w:ascii="Trebuchet MS" w:hAnsi="Trebuchet MS"/>
                <w:sz w:val="22"/>
                <w:szCs w:val="22"/>
              </w:rPr>
            </w:pPr>
            <w:r>
              <w:rPr>
                <w:rFonts w:ascii="Trebuchet MS" w:hAnsi="Trebuchet MS"/>
                <w:sz w:val="22"/>
                <w:szCs w:val="22"/>
                <w:lang w:val="en-US" w:eastAsia="en-US" w:bidi="ar-SA"/>
              </w:rPr>
              <w:t>Aceste softuri sunt dezvoltate în cloud și nu se mai livrează tradițional sub formă de licență permanentă;</w:t>
            </w:r>
          </w:p>
          <w:p>
            <w:pPr>
              <w:pStyle w:val="NormalWeb"/>
              <w:widowControl/>
              <w:numPr>
                <w:ilvl w:val="0"/>
                <w:numId w:val="5"/>
              </w:numPr>
              <w:spacing w:before="0" w:after="280"/>
              <w:jc w:val="both"/>
              <w:rPr>
                <w:rFonts w:ascii="Trebuchet MS" w:hAnsi="Trebuchet MS"/>
                <w:sz w:val="22"/>
                <w:szCs w:val="22"/>
              </w:rPr>
            </w:pPr>
            <w:r>
              <w:rPr>
                <w:rFonts w:ascii="Trebuchet MS" w:hAnsi="Trebuchet MS"/>
                <w:sz w:val="22"/>
                <w:szCs w:val="22"/>
                <w:lang w:val="en-US" w:eastAsia="en-US" w:bidi="ar-SA"/>
              </w:rPr>
              <w:t>Abonamentele nu permit înregistrarea programului ca activ necorporal în balanța mijloacelor fixe, fiind încadrate contabil ca cheltuieli recurente.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9.Conform pag. 56, secțiunea 5.4.4-În conformitate cu art. 54, lit. (a), din Regulamentul UE 2021/1060, AM PTJ va calcula costurile indirecte prin aplicarea unei rate forfetare de 7% din costurile directe eligibile.</w:t>
              <w:br/>
              <w:t>— Conform pag. 54, Costuri eligibile indirecte (Co ind)</w:t>
              <w:br/>
              <w:t>Este obligatorie includerea în bugetul proiectului, pe lângă cheltuielile directe, și a cheltuielilor indirecte în limita procentului menționat mai sus (7%), fără depășirea valorii maxime a finanțării nerambursabile acordate prin ajutor de minimis.</w:t>
              <w:br/>
              <w:t>Întrebare:</w:t>
              <w:br/>
              <w:t>Rata cheltuielilor indirecte este fixă (fix 7%) sau variabilă (în limita a 7%)?</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11.ADR Sud-Vest Oltenia își menține valabilă lista Codurilor CAEN prioritizare așa cum a făcut-o pe apelul anterior?</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12.Referitor indicator „IS 3 — Creșterea valorii cifrei de afaceri față de nivelul înregistrat în ultimul an fiscal încheiat înainte de depunerea cererii de finanțare.</w:t>
              <w:br/>
              <w:t>Indicatorul se referă la procentul privind creșterea cifrei de afaceri aferentă anului următor anului de finalizare a proiectului prin raportare la nivelul înregistrat în ultimul an fiscal încheiat înainte de depunerea cererii de finanțare.</w:t>
              <w:br/>
              <w:t>Întrebare: Care este consecința neîndeplinirii acestui indicator, dat fiind că cifra de afaceri este definită ca fiind totalitatea vânzărilor realizate de întreprindere în ansamblul său, și nu doar rezultatele asociate direct investiției finanțate prin proiect. Mai exact, nu vorbim doar de centru de cost al proiectului, ci de ÎNTREAGA activitate a societății, aceasta poate avea mai multe domenii în care activează.</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13.În ceea ce privește aplicarea criteriului A3 din grila de evaluare tehnică și financiară (ETF), solicităm o interpretare adaptată scopului și obiectivelor Programului Tranziție Justă, nu limitată strict la sensul contabil al termenilor implicați.</w:t>
              <w:br/>
              <w:t>Potrivit art. 7 alin. (1) pct. 10 din Codul Fiscal, materiile prime sunt definite ca „bunuri care participă direct la fabricarea produsului și care se regăsesc în produsul final”. Extensia acestei definiții fiscale = materia primă secundară, provenită din reciclare, trebuie să participe nemijlocit la procesul de fabricație și să se regăsească material în produsul final. Această abordare este însă specifică industriei de producție de bunuri fizice și nu reflectă realitatea prestatorilor de servicii, cum sunt clinicile stomatologice de altfel.</w:t>
              <w:br/>
              <w:t>În cazul activităților de prestări servicii, cum este o clinică stomatologică, nu există un proces de fabricație de produse finite. Serviciile prestate nu generează un bun material asupra căruia să se aplice definiția clasică a materiei prime. Cu toate acestea, în fluxul de desfășurare a serviciilor sunt utilizate materiale, echipamente și consumabile, dintre care unele pot proveni din reciclare, reutilizare sau surse locale. În mod obiectiv, aceste resurse contribuie la atingerea obiectivelor programului – reducerea consumului de resurse naturale, sprijinirea economiei circulare și promovarea dezvoltării durabile.</w:t>
              <w:br/>
              <w:t>Mai mult, Ghidul solicitantului aferent Programului Tranziție Justă prevede expres, în secțiunea privind criteriile de punctare suplimentară, că se acordă punctaj pentru utilizarea de „materii secundare (materii prime, materii, produse finite, materiale consumabile, materiale de natura obiectelor de inventar, ambalaje) care provin din procese de reciclare” utilizate „în fluxul de producție/prestare a serviciilor”. Această formulare clară extinde noțiunea de materie primă secundară și asupra materialelor sau echipamentelor folosite în prestarea de servicii, confirmând că nu este obligatorie existența unui bun finit rezultat.</w:t>
              <w:br/>
              <w:t>Prin urmare, solicităm ca, în procesul de evaluare, criteriul A3 să fie analizat din perspectiva obiectivelor asumate prin Programul Tranziție Justă, respectiv sprijinirea tranziției verzi și a economiei circulare, și nu exclusiv din punct de vedere contabil. Considerăm că orice integrare de materiale reciclate sau provenite din surse locale în activitatea clinicii (inclusiv materiale consumabile, echipamente, mobilier sau alte resurse) ar trebui să fie considerată relevantă și să permită acordarea punctajului corespunzător.</w:t>
            </w:r>
          </w:p>
        </w:tc>
        <w:tc>
          <w:tcPr>
            <w:tcW w:w="5113" w:type="dxa"/>
            <w:tcBorders/>
          </w:tcPr>
          <w:p>
            <w:pPr>
              <w:pStyle w:val="NormalWeb"/>
              <w:widowControl/>
              <w:spacing w:before="0" w:after="280"/>
              <w:jc w:val="both"/>
              <w:rPr>
                <w:rFonts w:ascii="Trebuchet MS" w:hAnsi="Trebuchet MS"/>
                <w:b/>
                <w:bCs/>
                <w:sz w:val="22"/>
                <w:szCs w:val="22"/>
              </w:rPr>
            </w:pPr>
            <w:r>
              <w:rPr>
                <w:rStyle w:val="Strong"/>
                <w:rFonts w:eastAsia="" w:ascii="Trebuchet MS" w:hAnsi="Trebuchet MS" w:eastAsiaTheme="majorEastAsia"/>
                <w:b w:val="false"/>
                <w:bCs w:val="false"/>
                <w:sz w:val="22"/>
                <w:szCs w:val="22"/>
                <w:lang w:val="en-US" w:eastAsia="en-US" w:bidi="ar-SA"/>
              </w:rPr>
              <w:t>În raport cu cele semnalate de dumneavoastră, vă comunicăm următoarele: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1.Tipul de proiect pe care îl propuneți, care urmează a se implementa în mai multe locații, este eligibil;</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2.1. Demonstrarea drepturilor asupra imobilelor unde se implementează proiectul se face în baza documentelor solicitate la punctul 6) de la capitolul 5.1.2 „Categorii de solicitanți eligibili” din Ghidul solicitantului;</w:t>
              <w:br/>
              <w:t>2.2. Planul de situație poate fi unul dintre documentele relevante la care se face referire în Ghidul solicitantului;</w:t>
              <w:br/>
              <w:t>2.3. Demonstrarea drepturilor asupra imobilelor unde se implementează proiectul se face în baza documentelor solicitate la punctul 6) de la capitolul 5.1.2 „Categorii de solicitanți eligibili” din Ghidul solicitantului. În cazul exemplului prezentat, se poate prezenta contractul de închiriere sau de comodat cu viză ANAF.</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3.Conform situației prezentate de dumneavoastră, criteriul nu este îndeplinit.</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4.1. Conform cerințelor, sunt vizate persoane cu domiciliul/reședința în zona vizată de apel, prin urmare, prin angajarea unor persoane cu viză de flotant, criteriul este îndeplinit;</w:t>
              <w:br/>
              <w:t>4.2. Pentru restul de 25% din totalul locurilor de muncă nu sunt condiții speciale, prin urmare, vă rugăm să respectați legislația în vigoare.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5.Vă rugăm să aveți în vedere consultarea AJOFM în procesul de recrutare, conform prevederilor punctului 1) de la capitolul 5.2 „Cerințe privind eligibilitatea proiectului” din Ghidul solicitantului.</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6.Având în vedere că tipurile de softuri la care faceți referire nu sunt înregistrate în categoria activelor necorporale, ci direct pe cheltuieli, acestea nu sunt eligibile.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 xml:space="preserve">7.Costurile eligibile indirecte sunt de </w:t>
            </w:r>
            <w:r>
              <w:rPr>
                <w:rStyle w:val="Strong"/>
                <w:rFonts w:eastAsia="" w:ascii="Trebuchet MS" w:hAnsi="Trebuchet MS" w:eastAsiaTheme="majorEastAsia"/>
                <w:sz w:val="22"/>
                <w:szCs w:val="22"/>
                <w:lang w:val="en-US" w:eastAsia="en-US" w:bidi="ar-SA"/>
              </w:rPr>
              <w:t xml:space="preserve">7% </w:t>
            </w:r>
            <w:r>
              <w:rPr>
                <w:rStyle w:val="Strong"/>
                <w:rFonts w:eastAsia="" w:ascii="Trebuchet MS" w:hAnsi="Trebuchet MS" w:eastAsiaTheme="majorEastAsia"/>
                <w:b w:val="false"/>
                <w:bCs w:val="false"/>
                <w:sz w:val="22"/>
                <w:szCs w:val="22"/>
                <w:lang w:val="en-US" w:eastAsia="en-US" w:bidi="ar-SA"/>
              </w:rPr>
              <w:t>din costurile directe eligibile, calculate automat</w:t>
            </w:r>
            <w:r>
              <w:rPr>
                <w:rFonts w:ascii="Trebuchet MS" w:hAnsi="Trebuchet MS"/>
                <w:b/>
                <w:bCs/>
                <w:sz w:val="22"/>
                <w:szCs w:val="22"/>
                <w:lang w:val="en-US" w:eastAsia="en-US" w:bidi="ar-SA"/>
              </w:rPr>
              <w:t>.</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8.Prezentul apel are propriul pachet de documente de aplicare pe care vă rugăm să le consultați periodic, până la înregistrarea cererii de finanțare în aplicația MySMIS.</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9.Având în vedere că indicatorul la care faceți referire face parte din indicatorii suplimentari, nu sunt consecințe în ceea ce privește ajustarea ajutorului financiar nerambursabil.</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10.Pentru criteriul A3 din grila de evaluare tehnică și financiară (ETF), pentru utilizarea materiilor secundare, locale în fluxul de producție se face mențiune atât la fluxul de producție, cât și de servicii.</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 xml:space="preserve">Pentru o corectă determinare a eligibilității, vă rugăm să consultați </w:t>
            </w:r>
            <w:r>
              <w:rPr>
                <w:rStyle w:val="Strong"/>
                <w:rFonts w:eastAsia="" w:ascii="Trebuchet MS" w:hAnsi="Trebuchet MS" w:eastAsiaTheme="majorEastAsia"/>
                <w:sz w:val="22"/>
                <w:szCs w:val="22"/>
                <w:lang w:val="en-US" w:eastAsia="en-US" w:bidi="ar-SA"/>
              </w:rPr>
              <w:t>Ghidul solicitantului</w:t>
            </w:r>
            <w:r>
              <w:rPr>
                <w:rFonts w:ascii="Trebuchet MS" w:hAnsi="Trebuchet MS"/>
                <w:sz w:val="22"/>
                <w:szCs w:val="22"/>
                <w:lang w:val="en-US" w:eastAsia="en-US" w:bidi="ar-SA"/>
              </w:rPr>
              <w:t xml:space="preserve"> aprobat și disponibil pe site-ul ministerului, respectiv:</w:t>
              <w:br/>
            </w:r>
            <w:r>
              <w:rPr>
                <w:rFonts w:cs="Apple Color Emoji" w:ascii="Apple Color Emoji" w:hAnsi="Apple Color Emoji"/>
                <w:sz w:val="22"/>
                <w:szCs w:val="22"/>
                <w:lang w:val="en-US" w:eastAsia="en-US" w:bidi="ar-SA"/>
              </w:rPr>
              <w:t>👉</w:t>
            </w:r>
            <w:r>
              <w:rPr>
                <w:rFonts w:ascii="Trebuchet MS" w:hAnsi="Trebuchet MS"/>
                <w:sz w:val="22"/>
                <w:szCs w:val="22"/>
                <w:lang w:val="en-US" w:eastAsia="en-US" w:bidi="ar-SA"/>
              </w:rPr>
              <w:t xml:space="preserve"> </w:t>
            </w:r>
            <w:hyperlink r:id="rId5" w:tgtFrame="_new">
              <w:r>
                <w:rPr>
                  <w:rStyle w:val="Hyperlink"/>
                  <w:rFonts w:eastAsia="" w:ascii="Trebuchet MS" w:hAnsi="Trebuchet MS" w:eastAsiaTheme="majorEastAsia"/>
                  <w:sz w:val="22"/>
                  <w:szCs w:val="22"/>
                  <w:lang w:val="en-US" w:eastAsia="en-US" w:bidi="ar-SA"/>
                </w:rPr>
                <w:t>https://mfe.gov.ro/ghiduri_ptj/ghidul-solicitantului-pentru-interventii-care-sprijina-dezvoltarea-intreprinderilor-si-a-antreprenoriatului/</w:t>
              </w:r>
            </w:hyperlink>
          </w:p>
        </w:tc>
      </w:tr>
      <w:tr>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17</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47991/28.04.2025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280"/>
              <w:jc w:val="both"/>
              <w:rPr>
                <w:rFonts w:ascii="Trebuchet MS" w:hAnsi="Trebuchet MS"/>
                <w:b/>
                <w:bCs/>
                <w:sz w:val="22"/>
                <w:szCs w:val="22"/>
              </w:rPr>
            </w:pPr>
            <w:r>
              <w:rPr>
                <w:rStyle w:val="Strong"/>
                <w:rFonts w:eastAsia="" w:ascii="Trebuchet MS" w:hAnsi="Trebuchet MS" w:eastAsiaTheme="majorEastAsia"/>
                <w:b w:val="false"/>
                <w:bCs w:val="false"/>
                <w:sz w:val="22"/>
                <w:szCs w:val="22"/>
                <w:lang w:val="en-US" w:eastAsia="en-US" w:bidi="ar-SA"/>
              </w:rPr>
              <w:t>Vă rog să clarificați care este varianta pe care să o luăm în considerare în privința următoarelor situații:</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 xml:space="preserve">1.Pentru criteriul </w:t>
            </w:r>
            <w:r>
              <w:rPr>
                <w:rStyle w:val="Emphasis"/>
                <w:rFonts w:eastAsia="" w:ascii="Trebuchet MS" w:hAnsi="Trebuchet MS" w:eastAsiaTheme="majorEastAsia"/>
                <w:sz w:val="22"/>
                <w:szCs w:val="22"/>
                <w:lang w:val="en-US" w:eastAsia="en-US" w:bidi="ar-SA"/>
              </w:rPr>
              <w:t>„Dacă proiectul este promovat de o întreprindere al cărui acționariat este în procent de 50% sau mai mare format din femei”</w:t>
            </w:r>
            <w:r>
              <w:rPr>
                <w:rFonts w:ascii="Trebuchet MS" w:hAnsi="Trebuchet MS"/>
                <w:sz w:val="22"/>
                <w:szCs w:val="22"/>
                <w:lang w:val="en-US" w:eastAsia="en-US" w:bidi="ar-SA"/>
              </w:rPr>
              <w:t>, în ghid (pagina 21) apare mențiunea:</w:t>
              <w:br/>
            </w:r>
            <w:r>
              <w:rPr>
                <w:rStyle w:val="Emphasis"/>
                <w:rFonts w:eastAsia="" w:ascii="Trebuchet MS" w:hAnsi="Trebuchet MS" w:eastAsiaTheme="majorEastAsia"/>
                <w:sz w:val="22"/>
                <w:szCs w:val="22"/>
                <w:lang w:val="en-US" w:eastAsia="en-US" w:bidi="ar-SA"/>
              </w:rPr>
              <w:t>„criteriul se referă la procentul acțiunilor deținute de femei înainte de publicarea ghidului în consultare”</w:t>
            </w:r>
            <w:r>
              <w:rPr>
                <w:rFonts w:ascii="Trebuchet MS" w:hAnsi="Trebuchet MS"/>
                <w:sz w:val="22"/>
                <w:szCs w:val="22"/>
                <w:lang w:val="en-US" w:eastAsia="en-US" w:bidi="ar-SA"/>
              </w:rPr>
              <w:t>,</w:t>
              <w:br/>
              <w:t>iar în grila de evaluare tehnico-financiară (A8):</w:t>
              <w:br/>
            </w:r>
            <w:r>
              <w:rPr>
                <w:rStyle w:val="Emphasis"/>
                <w:rFonts w:eastAsia="" w:ascii="Trebuchet MS" w:hAnsi="Trebuchet MS" w:eastAsiaTheme="majorEastAsia"/>
                <w:sz w:val="22"/>
                <w:szCs w:val="22"/>
                <w:lang w:val="en-US" w:eastAsia="en-US" w:bidi="ar-SA"/>
              </w:rPr>
              <w:t>„criteriul se referă la procentul acțiunilor deținute de femei înainte de 31.12.2024, inclusiv”</w:t>
            </w:r>
            <w:r>
              <w:rPr>
                <w:rFonts w:ascii="Trebuchet MS" w:hAnsi="Trebuchet MS"/>
                <w:sz w:val="22"/>
                <w:szCs w:val="22"/>
                <w:lang w:val="en-US" w:eastAsia="en-US" w:bidi="ar-SA"/>
              </w:rPr>
              <w:t>.</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2.Procentul minim al bugetului alocat activității de bază:</w:t>
              <w:br/>
              <w:t xml:space="preserve">– în ghid (pagina 48): </w:t>
            </w:r>
            <w:r>
              <w:rPr>
                <w:rStyle w:val="Emphasis"/>
                <w:rFonts w:eastAsia="" w:ascii="Trebuchet MS" w:hAnsi="Trebuchet MS" w:eastAsiaTheme="majorEastAsia"/>
                <w:sz w:val="22"/>
                <w:szCs w:val="22"/>
                <w:lang w:val="en-US" w:eastAsia="en-US" w:bidi="ar-SA"/>
              </w:rPr>
              <w:t>„bugetul estimat alocat activității sau pachetului de activități reprezintă minimum 50% din bugetul eligibil al proiectului. În cadrul acestui apel de proiecte, activitatea de bază va include activități aferente activelor corporale și necorporale [...]”</w:t>
            </w:r>
            <w:r>
              <w:rPr>
                <w:rFonts w:ascii="Trebuchet MS" w:hAnsi="Trebuchet MS"/>
                <w:sz w:val="22"/>
                <w:szCs w:val="22"/>
                <w:lang w:val="en-US" w:eastAsia="en-US" w:bidi="ar-SA"/>
              </w:rPr>
              <w:br/>
              <w:t xml:space="preserve">– în declarația unică (punct 39): </w:t>
            </w:r>
            <w:r>
              <w:rPr>
                <w:rStyle w:val="Emphasis"/>
                <w:rFonts w:eastAsia="" w:ascii="Trebuchet MS" w:hAnsi="Trebuchet MS" w:eastAsiaTheme="majorEastAsia"/>
                <w:sz w:val="22"/>
                <w:szCs w:val="22"/>
                <w:lang w:val="en-US" w:eastAsia="en-US" w:bidi="ar-SA"/>
              </w:rPr>
              <w:t>„Bugetul estimat alocat activității de bază sau pachetului de activități de bază reprezintă minimum 85% din bugetul eligibil al proiectului, activitatea de bază incluzând investițiile în active corporale finanțabile prin ajutor de minimis”</w:t>
            </w:r>
            <w:r>
              <w:rPr>
                <w:rFonts w:ascii="Trebuchet MS" w:hAnsi="Trebuchet MS"/>
                <w:sz w:val="22"/>
                <w:szCs w:val="22"/>
                <w:lang w:val="en-US" w:eastAsia="en-US" w:bidi="ar-SA"/>
              </w:rPr>
              <w:t>.</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3.De asemenea, vă rog să precizați:</w:t>
              <w:br/>
              <w:t>– câte oferte sunt necesare pentru fiecare achiziție de bunuri/servicii;</w:t>
              <w:br/>
              <w:t xml:space="preserve">– care sunt documentele care atestă </w:t>
            </w:r>
            <w:r>
              <w:rPr>
                <w:rStyle w:val="Emphasis"/>
                <w:rFonts w:eastAsia="" w:ascii="Trebuchet MS" w:hAnsi="Trebuchet MS" w:eastAsiaTheme="majorEastAsia"/>
                <w:sz w:val="22"/>
                <w:szCs w:val="22"/>
                <w:lang w:val="en-US" w:eastAsia="en-US" w:bidi="ar-SA"/>
              </w:rPr>
              <w:t>„dreptul proprietarului imobilului de a încheia contractul”</w:t>
            </w:r>
            <w:r>
              <w:rPr>
                <w:rFonts w:ascii="Trebuchet MS" w:hAnsi="Trebuchet MS"/>
                <w:sz w:val="22"/>
                <w:szCs w:val="22"/>
                <w:lang w:val="en-US" w:eastAsia="en-US" w:bidi="ar-SA"/>
              </w:rPr>
              <w:t xml:space="preserve"> (pagina 67 din GS) – este necesară și transmiterea actului de proprietate al imobilului?</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4.Dacă perioada alocată depunerii este de 2 luni, de ce pentru determinarea listei proiectelor care vor intra în mod automat în etapa de contractare sunt luate în calcul 4 luni?</w:t>
            </w:r>
          </w:p>
        </w:tc>
        <w:tc>
          <w:tcPr>
            <w:tcW w:w="5113"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În raport cu cele semnalate de dumneavoastră, vă comunică următoarele: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1.Pentru realizarea punctajului suplimentar, trebuie să se respecte criteriul din grila de evaluare tehnico-financiară (A8), respectiv procentul acțiunilor deținute de femei înainte de 31.12.2024, inclusiv;</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2.În cadrul proiectelor de investiții pentru microîntreprinderi cea mai mare parte a bugetului trebuie să fie alocat activității sau pachetului de activități de bază. Din punct de vedere al bugetului estimat alocat activității de bază să reprezinte minimum 85%, conform modelului declarației unice, acest procent fiind inclus în procentul menționat în ghidul solicitantului care ia în calcul minim obligatoriu conform OUG nr. 23/2023.</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3.Pentru fiecare achiziție de bunuri/servicii trebuie să se prezinte minim două oferte, respectând cerințele ghidului solicitantului în ceea ce privește rezonabilitatea costurilor, inclusiv din perspectiva documentării și justificării corespunzătoare a raportului privind rezonabilitatea costurilor (Anexa 7).</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4.Pentru a determina documentul/ele care atestă existența unui drept real principal/un drept de folosință asupra bunurilor imobile care fac obiectul cererii de finanțare și necesitatea de a le transmite, vă rugăm să parcurgeți cu precădere secțiunile 7.4 Anexe și documente obligatorii la depunerea cererii și 7.6 Anexele și documente obligatorii la momentul contractării în corelare cu secțiunea 5.1.2 Categorii de solicitanți eligibili, punctul 6 din ghidul solicitantului.</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5.În cadrul capitolului 8.4.1 din ghidul solicitantului este descris mecanismul de selecție a proiectelor. În cele 4 luni menționate în ghid sunt descriși pașii urmați ale procesului de evaluare și selecție, raportat la un mecanism de asigurare a unei distribuții proporționale de maximum 25% din finanțarea disponibilă a apelului până la atingerea procentului de 100%.</w:t>
            </w:r>
          </w:p>
        </w:tc>
      </w:tr>
      <w:tr>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18</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49990/30.04.2025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Societatea noastră are sediul social în județul Cluj și dorește să depună un proiect cu loc de implementare în zona ITI Valea Jiului. În acest sens, avem în vedere înființarea unui punct de lucru în una dintre localitățile eligibile, municipiul Petroșani.</w:t>
              <w:br/>
              <w:t>Vă rugăm să ne confirmați dacă:</w:t>
              <w:br/>
              <w:t>• Este eligibilă înființarea punctului de lucru ulterior depunerii cererii de finanțare, dar înainte de semnarea contractului sau efectuarea primei plăți.</w:t>
              <w:br/>
              <w:t>• Trebuie ca punctul de lucru să fie operațional la momentul depunerii cererii sau doar angajamentul de înființare este suficient inițial.</w:t>
              <w:br/>
              <w:t>• În ce etapă trebuie obținut și transmis avizul de conformitate de la ADITI Valea Jiului.</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Vă mulțumim anticipat pentru suport și pentru sprijinul acordat!</w:t>
            </w:r>
          </w:p>
        </w:tc>
        <w:tc>
          <w:tcPr>
            <w:tcW w:w="5113"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În raport cu cele semnalate de dumneavoastră, vă comunică următoarele: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1.Conform prevederilor de la punctul 3) capitolul 5.2 din ghidul solicitantului:</w:t>
              <w:br/>
              <w:t>„Până la data primei plăți din ajutorul de minimis, dar nu mai târziu de finalizarea implementării proiectului, solicitantul trebuie să aibă locul de implementare a proiectului înregistrat ca sediu principal sau secundar în zona vizată de apel. Cu toate acestea, locul de implementare trebuie identificat în cadrul cererii de finanțare, descris în cadrul planului de afaceri (Anexa 5) și trebuie să fie adecvat proiectului.”;</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2.Conform prevederilor de la punctul 3) capitolul 5.2 din ghidul solicitantului:</w:t>
              <w:br/>
              <w:t>„Solicitanții vor depune împreună cu Cererea de finanțare un aviz de conformitate emis de ADITI Valea Jiului, prin intermediul căruia se certifică contribuția proiectului la îndeplinirea obiectivelor Strategiei de dezvoltare economică, socială și de mediu a Văii Jiului pentru perioada 2022-2030. Avizul va viza inclusiv caracterul integrat al proiectelor, respectiv caracterul integrat ar trebui să reiasă la nivelul strategiei ITI în sensul în care investițiile componente se completează și răspund acelorași obiective strategice.”</w:t>
            </w:r>
          </w:p>
        </w:tc>
      </w:tr>
      <w:tr>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19</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50775/05.05.2025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În Anexa 4 b) la Ghidul Solicitantului „Intervenții care sprijină dezvoltarea întreprinderilor și a antreprenoriatului”, componenta „Sprijin pentru creșterea durabilă a microîntreprinderilor și crearea de locuri de muncă” din cadrul Programului Tranziție Justă 2021–2027, există următoarea mențiune: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 Modificările conjuncturale de acționariat pentru a se demonstra eligibilitatea solicitantului în cadrul apelului de proiecte vor fi analizate prin raportare la două exerciții financiare consecutive anterior anului în care a fost depusă cererea de finanțare. O modificare de acționariat înainte de depunerea cererii de finanțare poate crea premisele unei suspiciuni rezonabile privind crearea unor condiții artificiale în vederea obținerii finanțării în cadrul apelului de proiecte. În acest caz, solicitantul la finanțare trebuie să demonstreze cu documente doveditoare că modificarea acționariatului nu este conjuncturală. »</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Vă rugăm să ne comunicați ce înseamnă în accepțiunea Apelului de finanțare „modificări conjuncturale de acționariat”. Care ar fi „documentele doveditoare că modificarea acționariatului nu este conjuncturală” ce ar trebui prezentate într-o astfel de situație?</w:t>
            </w:r>
          </w:p>
        </w:tc>
        <w:tc>
          <w:tcPr>
            <w:tcW w:w="5113"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en-US" w:eastAsia="en-US" w:bidi="ar-SA"/>
              </w:rPr>
              <w:t>În raport cu cele semnalate de dumneavoastră, vă comunică următoarele:</w:t>
              <w:br/>
              <w:t>Documentele doveditoare sunt reprezentate de acele documente emise de societate și înregistrate la Registrul Comerțului.</w:t>
              <w:br/>
              <w:t>În ceea ce privește accepțiunea sintagmei „modificări conjuncturale de acționariat”, vă rugăm să parcurgeți cu atenție Anexa 4 b) privind Regulile, principiile și recomandările destinate potențialilor solicitanți, document care vă ajută să realizați o încadrare corectă a societății pentru care intenționați să dezvoltați proiectul, inclusiv din perspectiva cerinței potrivit căreia „Cererea de finanțare poate fi exclusă din procesul de evaluare, selecție, contractare, dacă se constată că solicitantul și/sau entitățile cu care este/ar putea fi considerat legat/partener au realizat modificări conjuncturale, cu caracter temporar, de natură să afecteze criteriul de eligibilitate a solicitantului de finanțare privind încadrarea în categoria microîntreprindere, respectiv au realizat schimbări în structura acționariatului și/sau la nivelul administratorilor, inclusiv ca urmare a unei fuziuni, a unei achiziții sau a divizării societății după data publicării în consultare a ghidului.”</w:t>
            </w:r>
          </w:p>
        </w:tc>
      </w:tr>
      <w:tr>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20</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506637/05.05.2025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en-US" w:eastAsia="en-US" w:bidi="ar-SA"/>
              </w:rPr>
              <w:t>Referitor la „INTERVENȚII CARE SPRIJINĂ DEZVOLTAREA ÎNTREPRINDERILOR ȘI A ANTREPRENORIATULUI”, COMPONENTA „SPRIJIN PENTRU CREȘTEREA DURABILĂ A MICROÎNTREPRINDERILOR ȘI CREAREA DE LOCURI DE MUNCĂ” din cadrul PROGRAMULUI TRANZIȚIE JUSTĂ 2021-2027, în situația unei investiții care presupune „achiziția de echipamente/dotări”, implementată într-o locație (punct de lucru) deja înființată și autorizată, vă rugăm să ne detaliați în ce constă „desfășurarea de activitate economică” în accepțiunea Ghidului de Apel. Realizarea de venituri în cadrul sediului secundar constituie o dovadă a desfășurării de activitate economică la locația de implementare?</w:t>
            </w:r>
          </w:p>
        </w:tc>
        <w:tc>
          <w:tcPr>
            <w:tcW w:w="5113"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În raport cu cele semnalate de dumneavoastră, vă comunică următoarele:</w:t>
              <w:br/>
              <w:t>O dovadă a desfășurării de activitate se poate face, raportat la situația proiectului, prin:</w:t>
            </w:r>
          </w:p>
          <w:p>
            <w:pPr>
              <w:pStyle w:val="NormalWeb"/>
              <w:widowControl/>
              <w:numPr>
                <w:ilvl w:val="0"/>
                <w:numId w:val="6"/>
              </w:numPr>
              <w:spacing w:before="280" w:after="0"/>
              <w:jc w:val="both"/>
              <w:rPr>
                <w:rFonts w:ascii="Trebuchet MS" w:hAnsi="Trebuchet MS"/>
                <w:sz w:val="22"/>
                <w:szCs w:val="22"/>
              </w:rPr>
            </w:pPr>
            <w:r>
              <w:rPr>
                <w:rFonts w:ascii="Trebuchet MS" w:hAnsi="Trebuchet MS"/>
                <w:sz w:val="22"/>
                <w:szCs w:val="22"/>
                <w:lang w:val="en-US" w:eastAsia="en-US" w:bidi="ar-SA"/>
              </w:rPr>
              <w:t>Situațiile financiare corespunzătoare ultimului exercițiu financiar încheiat, depuse și aprobate conform prevederilor legale în vigoare (în cazul unei întreprinderi care are un exercițiu financiar încheiat);</w:t>
            </w:r>
          </w:p>
          <w:p>
            <w:pPr>
              <w:pStyle w:val="NormalWeb"/>
              <w:widowControl/>
              <w:numPr>
                <w:ilvl w:val="0"/>
                <w:numId w:val="6"/>
              </w:numPr>
              <w:spacing w:before="0" w:after="280"/>
              <w:jc w:val="both"/>
              <w:rPr>
                <w:rFonts w:ascii="Trebuchet MS" w:hAnsi="Trebuchet MS"/>
                <w:sz w:val="22"/>
                <w:szCs w:val="22"/>
              </w:rPr>
            </w:pPr>
            <w:r>
              <w:rPr>
                <w:rFonts w:ascii="Trebuchet MS" w:hAnsi="Trebuchet MS"/>
                <w:sz w:val="22"/>
                <w:szCs w:val="22"/>
                <w:lang w:val="en-US" w:eastAsia="en-US" w:bidi="ar-SA"/>
              </w:rPr>
              <w:t>Certificatul constatator emis de Oficiul Registrului Comerțului.</w:t>
            </w:r>
          </w:p>
        </w:tc>
      </w:tr>
      <w:tr>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21</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51495/06.05.2025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Am câteva neclarități în ceea ce privește un criteriu de punctaj, și anume Criteriul A2 – Localizarea sediului social al aplicantului și/sau a punctului de lucru cu desfășurare de activitate economică în zona vizată de apel.</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Mai exact, societatea cu care vreau să aplic are sediul social în județul Gorj și doresc realizarea unei investiții (locația de implementare a proiectului) în județul Dolj.</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Faptul că locația de implementare a proiectului nu este în același județ cu sediul social al societății împiedică societatea să obțină punctaj la acest criteriu?</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Menționez că societatea are sediul social în județul Gorj înainte de data de 31.12.2024, iar în județul Dolj nu are deschis un punct de lucru în acest moment.</w:t>
            </w:r>
          </w:p>
        </w:tc>
        <w:tc>
          <w:tcPr>
            <w:tcW w:w="5113"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În raport cu cele semnalate de dumneavoastră, vă comunică următoarele:</w:t>
              <w:br/>
              <w:t>În cadrul Ghidului Solicitantului nu sunt precizări cu privire la faptul că realizarea unei investiții într-o regiune alta decât cea în care se regăsește sediul societății este neeligibilă. Totodată, conform situației descrise, pentru Criteriul A2 punctajul este 0 (zero).</w:t>
            </w:r>
          </w:p>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r>
          </w:p>
        </w:tc>
      </w:tr>
      <w:tr>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22</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52129/07.05.2025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Referitor la măsura „INTERVENȚII CARE SPRIJINĂ DEZVOLTAREA ÎNTREPRINDERILOR ȘI A ANTREPRENORIATULUI”, COMPONENTA „SPRIJIN PENTRU CREȘTEREA DURABILĂ A MICROÎNTREPRINDERILOR ȘI CREAREA DE LOCURI DE MUNCĂ” din cadrul PROGRAMULUI TRANZIȚIE JUSTĂ 2021-2027, în situația unei investiții care presupune „achiziția de echipamente/dotări” implementată într-o locație (punct de lucru) deja înființată și autorizată, vă rugăm să ne comunicați ce perioadă de timp de activitate economică desfășurată la locația de implementare se consideră suficientă pentru a demonstra îndeplinirea condiției din Ghidul Solicitantului:</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 Dacă solicitantul are deja sediul/punctul de lucru înregistrat și autorizat în zona vizată de apel, dar la acea locație nu a desfășurat activitate economică, sunt eligibile doar proiectele de investiții care nu presupun doar achiziția de echipamente sau dotări. Astfel, dacă la sediu/punctul de lucru nu s-a desfășurat activitate economică, acesta va fi tratat ca un punct de lucru nou, caz în care proiectul promovat trebuie să vizeze investiții în infrastructură. »</w:t>
            </w:r>
          </w:p>
        </w:tc>
        <w:tc>
          <w:tcPr>
            <w:tcW w:w="5113"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en-US" w:eastAsia="en-US" w:bidi="ar-SA"/>
              </w:rPr>
              <w:t>În raport cu cele semnalate de dumneavoastră, vă comunică următoarele:</w:t>
              <w:br/>
              <w:t>Conform prevederilor de la punctul 2) din capitolul 5.2 din Ghidul Solicitantului, solicitantul trebuie să aibă domeniul/domeniile pentru care se solicită sprijin, înscris/e în obiectul de activitate (conform certificatului constatator ORC), la data depunerii cererii de finanțare.</w:t>
            </w:r>
          </w:p>
        </w:tc>
      </w:tr>
      <w:tr>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23</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FN/08.05.2025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Bună ziua,</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 xml:space="preserve">Referitor la documentul menționat în ghid: </w:t>
            </w:r>
            <w:r>
              <w:rPr>
                <w:rStyle w:val="Strong"/>
                <w:rFonts w:eastAsia="" w:ascii="Trebuchet MS" w:hAnsi="Trebuchet MS" w:eastAsiaTheme="majorEastAsia"/>
                <w:sz w:val="22"/>
                <w:szCs w:val="22"/>
                <w:lang w:val="en-US" w:eastAsia="en-US" w:bidi="ar-SA"/>
              </w:rPr>
              <w:t>Certificatul de urbanism</w:t>
            </w:r>
            <w:r>
              <w:rPr>
                <w:rFonts w:ascii="Trebuchet MS" w:hAnsi="Trebuchet MS"/>
                <w:sz w:val="22"/>
                <w:szCs w:val="22"/>
                <w:lang w:val="en-US" w:eastAsia="en-US" w:bidi="ar-SA"/>
              </w:rPr>
              <w:t>, în termen de valabilitate, emis pentru obiectivele de investiție ale proiectului, în situația în care se menționează necesitatea emiterii PUZ/PUD, se poate depune în această formă odată cu depunerea cererii de finanțare?</w:t>
            </w:r>
          </w:p>
        </w:tc>
        <w:tc>
          <w:tcPr>
            <w:tcW w:w="5113"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În raport cu cele semnalate de dumneavoastră, vă comunică următoarele:</w:t>
              <w:br/>
              <w:t xml:space="preserve">Conform prevederilor de la capitolul 7.4 din Ghidul Solicitantului, solicitantul trebuie să prezinte doar </w:t>
            </w:r>
            <w:r>
              <w:rPr>
                <w:rStyle w:val="Strong"/>
                <w:rFonts w:eastAsia="" w:ascii="Trebuchet MS" w:hAnsi="Trebuchet MS" w:eastAsiaTheme="majorEastAsia"/>
                <w:sz w:val="22"/>
                <w:szCs w:val="22"/>
                <w:lang w:val="en-US" w:eastAsia="en-US" w:bidi="ar-SA"/>
              </w:rPr>
              <w:t>Certificatul de urbanism</w:t>
            </w:r>
            <w:r>
              <w:rPr>
                <w:rFonts w:ascii="Trebuchet MS" w:hAnsi="Trebuchet MS"/>
                <w:sz w:val="22"/>
                <w:szCs w:val="22"/>
                <w:lang w:val="en-US" w:eastAsia="en-US" w:bidi="ar-SA"/>
              </w:rPr>
              <w:t>, în termen de valabilitate, emis pentru obiectivele de investiție ale proiectului.</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 xml:space="preserve">Pe de altă parte, conform prevederilor capitolului 8.9.1 din ghid, </w:t>
            </w:r>
            <w:r>
              <w:rPr>
                <w:rStyle w:val="Strong"/>
                <w:rFonts w:eastAsia="" w:ascii="Trebuchet MS" w:hAnsi="Trebuchet MS" w:eastAsiaTheme="majorEastAsia"/>
                <w:sz w:val="22"/>
                <w:szCs w:val="22"/>
                <w:lang w:val="en-US" w:eastAsia="en-US" w:bidi="ar-SA"/>
              </w:rPr>
              <w:t>autorizația de construire</w:t>
            </w:r>
            <w:r>
              <w:rPr>
                <w:rFonts w:ascii="Trebuchet MS" w:hAnsi="Trebuchet MS"/>
                <w:sz w:val="22"/>
                <w:szCs w:val="22"/>
                <w:lang w:val="en-US" w:eastAsia="en-US" w:bidi="ar-SA"/>
              </w:rPr>
              <w:t>, în termen de valabilitate, se va depune în cel mult 9 luni de la intrarea în vigoare a contractului de finanțare.</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În același context al determinării corecte a eligibilității, vă recomandăm ca, înainte de a începe completarea cererii de finanțare, să vă asigurați că ați parcurs toate informațiile prezentate în acest ghid, inclusiv în anexe, și să vă asigurați că ați înțeles toate aspectele legate de accesarea finanțării.</w:t>
            </w:r>
          </w:p>
        </w:tc>
      </w:tr>
      <w:tr>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24</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49079/29.04.2025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Având în vedere prevederile Art. 13, lit. b) din Anexa la Ordinul ministrului investițiilor și proiectelor europene nr. 654/2025 privind aprobarea Schemei de măsuri de ajutor de minimis, având ca obiectiv dezvoltarea microîntreprinderilor prin acordarea de sprijin pentru creșterea durabilă și crearea de locuri de muncă, în cadrul Programului Tranziție Justă 2021-2027, din 01.04.2025:</w:t>
            </w:r>
          </w:p>
          <w:p>
            <w:pPr>
              <w:pStyle w:val="NormalWeb"/>
              <w:widowControl/>
              <w:spacing w:before="28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b)</w:t>
            </w:r>
            <w:r>
              <w:rPr>
                <w:rFonts w:ascii="Trebuchet MS" w:hAnsi="Trebuchet MS"/>
                <w:sz w:val="22"/>
                <w:szCs w:val="22"/>
                <w:lang w:val="en-US" w:eastAsia="en-US" w:bidi="ar-SA"/>
              </w:rPr>
              <w:t xml:space="preserve"> atunci când o întreprindere solicitantă desfășoară activități într-unul din sectoarele excluse din domeniul de aplicare al Regulamentului de minimis și/sau al Schemei de ajutor, trebuie să prezinte documente contabile care să ateste separarea activităților sau distincția între costuri, pentru a dovedi că sectoarele excluse nu beneficiază de ajutorul acordat în cadrul prezentei scheme.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Vă rugăm să clarificați următoarele aspecte:</w:t>
            </w:r>
          </w:p>
          <w:p>
            <w:pPr>
              <w:pStyle w:val="NormalWeb"/>
              <w:widowControl/>
              <w:numPr>
                <w:ilvl w:val="0"/>
                <w:numId w:val="7"/>
              </w:numPr>
              <w:spacing w:before="280" w:after="0"/>
              <w:jc w:val="both"/>
              <w:rPr>
                <w:rFonts w:ascii="Trebuchet MS" w:hAnsi="Trebuchet MS"/>
                <w:sz w:val="22"/>
                <w:szCs w:val="22"/>
              </w:rPr>
            </w:pPr>
            <w:r>
              <w:rPr>
                <w:rFonts w:ascii="Trebuchet MS" w:hAnsi="Trebuchet MS"/>
                <w:sz w:val="22"/>
                <w:szCs w:val="22"/>
                <w:lang w:val="en-US" w:eastAsia="en-US" w:bidi="ar-SA"/>
              </w:rPr>
              <w:t>Cum este definită separarea activităților? Instalația de producție bere și instalația de producție băuturi răcoritoare nealcoolice trebuie să fie complet separate, în clădiri diferite?</w:t>
            </w:r>
          </w:p>
          <w:p>
            <w:pPr>
              <w:pStyle w:val="NormalWeb"/>
              <w:widowControl/>
              <w:numPr>
                <w:ilvl w:val="0"/>
                <w:numId w:val="7"/>
              </w:numPr>
              <w:spacing w:before="0" w:after="0"/>
              <w:jc w:val="both"/>
              <w:rPr>
                <w:rFonts w:ascii="Trebuchet MS" w:hAnsi="Trebuchet MS"/>
                <w:sz w:val="22"/>
                <w:szCs w:val="22"/>
              </w:rPr>
            </w:pPr>
            <w:r>
              <w:rPr>
                <w:rFonts w:ascii="Trebuchet MS" w:hAnsi="Trebuchet MS"/>
                <w:sz w:val="22"/>
                <w:szCs w:val="22"/>
                <w:lang w:val="en-US" w:eastAsia="en-US" w:bidi="ar-SA"/>
              </w:rPr>
              <w:t>Putem folosi echipamentul existent – sistem de îmbuteliere bere – pentru a lega echipamentul de spălare doze și echipamentul pentru adăugare nitrogen în doză, fără a fi necesară achiziția unui nou echipament de îmbuteliere, care să fie folosit doar pentru producția de băuturi răcoritoare nealcoolice?</w:t>
              <w:br/>
              <w:t>Menționăm că echipamentul pentru spălare doze și echipamentul pentru adăugare nitrogen în doză va fi folosit exclusiv pentru producția de băuturi răcoritoare nealcoolice.</w:t>
            </w:r>
          </w:p>
          <w:p>
            <w:pPr>
              <w:pStyle w:val="NormalWeb"/>
              <w:widowControl/>
              <w:numPr>
                <w:ilvl w:val="0"/>
                <w:numId w:val="7"/>
              </w:numPr>
              <w:spacing w:before="0" w:after="280"/>
              <w:jc w:val="both"/>
              <w:rPr>
                <w:rFonts w:ascii="Trebuchet MS" w:hAnsi="Trebuchet MS"/>
                <w:sz w:val="22"/>
                <w:szCs w:val="22"/>
              </w:rPr>
            </w:pPr>
            <w:r>
              <w:rPr>
                <w:rFonts w:ascii="Trebuchet MS" w:hAnsi="Trebuchet MS"/>
                <w:sz w:val="22"/>
                <w:szCs w:val="22"/>
                <w:lang w:val="en-US" w:eastAsia="en-US" w:bidi="ar-SA"/>
              </w:rPr>
              <w:t>Ce fel de documente contabile trebuie să atașăm pentru a demonstra separarea activităților?</w:t>
            </w:r>
          </w:p>
        </w:tc>
        <w:tc>
          <w:tcPr>
            <w:tcW w:w="5113"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În raport cu cele semnalate de dumneavoastră, vă comunică următoarele: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Referitor la informațiile pe care trebuie să le menționați în cererea de finanțare, în conformitate cu profilul noii activități – producția de băuturi nealcoolice –, acestea trebuie să reflecte strict activitățile proiectului. Activitatea pe care o desfășurați în paralel, la același sediu, respectiv producția de bere, este o activitate distinctă, neeligibilă la finanțare în cadrul PTJ.</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Locul de implementare trebuie identificat în cadrul cererii de finanțare, în conformitate cu planul de afaceri (Anexa 5), și trebuie să fie adecvat activităților desfășurate. Planul de amplasare a echipamentelor achiziționate prin proiect, pentru proiectele care prevăd achiziția de dotări, poate fi elaborat de solicitant prin raportare la activitățile proiectului.</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Referitor la posibilitatea de utilizare a sistemului de îmbuteliere bere deja achiziționat pentru a lega noile echipamente (unitatea de spălare doze și echipamentul pentru adăugare nitrogen în doză), utilizate exclusiv pentru fabricarea băuturilor nealcoolice, pentru a evita o cheltuială suplimentară puteți folosi sistemul de îmbuteliere în scopul îndeplinirii activităților specifice, cu respectarea prevederilor legale.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Referitor la documentele contabile pe care trebuie să le includeți, acestea trebuie să reflecte strict noua activitate. Având în vedere complementaritatea cu alte programe de finanțare, se va avea în vedere evitarea dublei finanțări.</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De asemenea, atunci când o întreprindere solicitantă desfășoară activități într-unul din sectoarele excluse din domeniul de aplicare al Regulamentului de minimis și/sau al Schemei de ajutor, aceasta trebuie să prezinte documente contabile care să ateste separarea activităților sau distincția între costuri, pentru a dovedi că sectoarele excluse nu beneficiază de ajutorul acordat în cadrul prezentei scheme. Aceeași condiție se aplică și dacă întreprinderea își desfășoară activitatea în sectoare în care se aplică plafoane de minimis mai scăzute.</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Dacă o întreprindere nu poate asigura faptul că activitățile corespunzătoare sectoarelor în cazul cărora se aplică plafoane de minimis mai scăzute beneficiază de ajutoare de minimis doar în limita acestor plafoane mai scăzute, atunci ar trebui să se aplice plafonul cel mai scăzut tuturor activităților pe care le desfășoară întreprinderea.</w:t>
            </w:r>
          </w:p>
        </w:tc>
      </w:tr>
      <w:tr>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25</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52315/08.05.2025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Potrivit condițiilor de aplicare din cadrul Apelului pentru Microîntreprinderi:</w:t>
              <w:br/>
              <w:t>„La depunerea cererii de finanțare, solicitantul trebuie să aibă deja domeniul/domeniile pentru care se acordă sprijin (clase CAEN) (...) în obiectul de activitate (...) conform certificatului constatator ORC.”</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Din 2022, ONRC nu mai permite introducerea unui cod CAEN în actul constitutiv (statut) decât dacă acesta este și autorizat (conform art. 15 din Legea 265/2022 și normele de aplicare).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Astfel, nu mai poți include un CAEN nou în statut fără să îl autorizezi simultan – adică fără să ai un spațiu (sediu/punct de lucru) în care activitatea să fie efectiv posibilă.</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Programul PTJ cere ca domeniul CAEN să fie deja inclus în obiectul de activitate la data depunerii cererii, dar, în același timp, permite prin excepție autorizarea ulterioară la punctul de lucru (până la prima plată).</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Acest lucru pare paradoxal: nu poți include în statut un cod CAEN fără autorizare, dar nici nu poți autoriza o activitate într-o hală care încă nu există.</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Am identificat două excepții:</w:t>
            </w:r>
          </w:p>
          <w:p>
            <w:pPr>
              <w:pStyle w:val="NormalWeb"/>
              <w:widowControl/>
              <w:numPr>
                <w:ilvl w:val="0"/>
                <w:numId w:val="8"/>
              </w:numPr>
              <w:spacing w:before="280" w:after="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Formulare exactă (excepție 1):</w:t>
            </w:r>
            <w:r>
              <w:rPr>
                <w:rFonts w:ascii="Trebuchet MS" w:hAnsi="Trebuchet MS"/>
                <w:sz w:val="22"/>
                <w:szCs w:val="22"/>
                <w:lang w:val="en-US" w:eastAsia="en-US" w:bidi="ar-SA"/>
              </w:rPr>
              <w:br/>
              <w:t>„Prin excepție, în cazul unei cereri de finanțare care presupune înființarea unui sediu secundar (punct de lucru) ori activarea într-un nou domeniu de activitate ca urmare a realizării proiectului, solicitantul se va angaja (prin declarația unică) ca, până la prima plată a ajutorului, dar nu mai târziu de finalizarea implementării proiectului, să înregistreze locul de implementare ca punct de lucru.”</w:t>
            </w:r>
          </w:p>
          <w:p>
            <w:pPr>
              <w:pStyle w:val="NormalWeb"/>
              <w:widowControl/>
              <w:numPr>
                <w:ilvl w:val="0"/>
                <w:numId w:val="8"/>
              </w:numPr>
              <w:spacing w:before="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Formulare exactă (excepție 2):</w:t>
            </w:r>
            <w:r>
              <w:rPr>
                <w:rFonts w:ascii="Trebuchet MS" w:hAnsi="Trebuchet MS"/>
                <w:sz w:val="22"/>
                <w:szCs w:val="22"/>
                <w:lang w:val="en-US" w:eastAsia="en-US" w:bidi="ar-SA"/>
              </w:rPr>
              <w:br/>
              <w:t>„Prin excepție, în cazul unei cereri de finanțare care presupune activarea într-un nou domeniu de activitate ca urmare a realizării proiectului, solicitantul se va angaja (prin declarația unică) ca, până la prima plată a ajutorului, dar nu mai târziu de finalizarea implementării proiectului, să autorizeze domeniul de activitate (clasa/clasele CAEN) vizat de proiect la locul de implementare ca punct de lucru.” (Anexa 10 – Grilă verificare)</w:t>
            </w:r>
          </w:p>
          <w:p>
            <w:pPr>
              <w:pStyle w:val="NormalWeb"/>
              <w:widowControl/>
              <w:spacing w:before="280" w:after="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Întrebare:</w:t>
            </w:r>
            <w:r>
              <w:rPr>
                <w:rFonts w:ascii="Trebuchet MS" w:hAnsi="Trebuchet MS"/>
                <w:sz w:val="22"/>
                <w:szCs w:val="22"/>
                <w:lang w:val="en-US" w:eastAsia="en-US" w:bidi="ar-SA"/>
              </w:rPr>
              <w:t xml:space="preserve"> Aceste excepții se aplică inclusiv pentru introducerea codului CAEN în statut?</w:t>
            </w:r>
          </w:p>
        </w:tc>
        <w:tc>
          <w:tcPr>
            <w:tcW w:w="5113"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Referitor la solicitarea dvs. de clarificare a posibilității de autorizare a introducerii în statut a unui cod CAEN în baza excepțiilor prevăzute de Anexa 10 la Ghidul Solicitantului privind autorizarea unui cod CAEN:</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w:t>
            </w:r>
            <w:r>
              <w:rPr>
                <w:rFonts w:ascii="Trebuchet MS" w:hAnsi="Trebuchet MS"/>
                <w:sz w:val="22"/>
                <w:szCs w:val="22"/>
                <w:lang w:val="en-US" w:eastAsia="en-US" w:bidi="ar-SA"/>
              </w:rPr>
              <w:t>Prin excepție, în cazul unei cereri de finanțare care presupune înființarea unui sediu secundar (punct de lucru) ori activarea într-un nou domeniu de activitate ca urmare a realizării proiectului, solicitantul se va angaja (prin declarația unică) ca, până la prima plată a ajutorului, dar nu mai târziu de finalizarea implementării proiectului, să înregistreze locul de implementare ca punct de lucru. Prin excepție, în cazul unei cereri de finanțare care presupune activarea într-un nou domeniu de activitate ca urmare a realizării proiectului, solicitantul se va angaja (prin declarația unică) ca, până la prima plată a ajutorului, dar nu mai târziu de finalizarea implementării proiectului, să autorizeze domeniul de activitate (clasa/clasele CAEN) vizat de proiect la locul de implementare ca punct de lucru.”</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 xml:space="preserve">Vă informăm că, pentru </w:t>
            </w:r>
            <w:r>
              <w:rPr>
                <w:rStyle w:val="Strong"/>
                <w:rFonts w:eastAsia="" w:ascii="Trebuchet MS" w:hAnsi="Trebuchet MS" w:eastAsiaTheme="majorEastAsia"/>
                <w:sz w:val="22"/>
                <w:szCs w:val="22"/>
                <w:lang w:val="en-US" w:eastAsia="en-US" w:bidi="ar-SA"/>
              </w:rPr>
              <w:t>autorizarea unui cod CAEN în obiectul de activitate al societății</w:t>
            </w:r>
            <w:r>
              <w:rPr>
                <w:rFonts w:ascii="Trebuchet MS" w:hAnsi="Trebuchet MS"/>
                <w:sz w:val="22"/>
                <w:szCs w:val="22"/>
                <w:lang w:val="en-US" w:eastAsia="en-US" w:bidi="ar-SA"/>
              </w:rPr>
              <w:t xml:space="preserve">, nu se aplică același regim. Această reglementare respectă procedura de înregistrare prevăzută de </w:t>
            </w:r>
            <w:r>
              <w:rPr>
                <w:rStyle w:val="Strong"/>
                <w:rFonts w:eastAsia="" w:ascii="Trebuchet MS" w:hAnsi="Trebuchet MS" w:eastAsiaTheme="majorEastAsia"/>
                <w:sz w:val="22"/>
                <w:szCs w:val="22"/>
                <w:lang w:val="en-US" w:eastAsia="en-US" w:bidi="ar-SA"/>
              </w:rPr>
              <w:t>Legea 265/2022 privind registrul comerțului și pentru modificarea și completarea altor acte normative cu incidență asupra înregistrării în registrul comerțului.</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Vă recomandăm ca, înainte de a începe să completați cererea de finanțare, să vă asigurați că ați parcurs toate informațiile prezentate în Ghid, cu precădere secțiunea 5.2 „Cerințe privind eligibilitatea”, în care veți găsi referințele privind codul CAEN, inclusiv în anexe, și să vă asigurați că ați înțeles toate aspectele legate de accesarea finanțării.</w:t>
            </w:r>
          </w:p>
        </w:tc>
      </w:tr>
      <w:tr>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26</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47984/28.04.2025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 xml:space="preserve">Vă contactez din partea companiei </w:t>
            </w:r>
            <w:r>
              <w:rPr>
                <w:rStyle w:val="Strong"/>
                <w:rFonts w:eastAsia="" w:ascii="Trebuchet MS" w:hAnsi="Trebuchet MS" w:eastAsiaTheme="majorEastAsia"/>
                <w:sz w:val="22"/>
                <w:szCs w:val="22"/>
                <w:lang w:val="en-US" w:eastAsia="en-US" w:bidi="ar-SA"/>
              </w:rPr>
              <w:t>Work Consult</w:t>
            </w:r>
            <w:r>
              <w:rPr>
                <w:rFonts w:ascii="Trebuchet MS" w:hAnsi="Trebuchet MS"/>
                <w:sz w:val="22"/>
                <w:szCs w:val="22"/>
                <w:lang w:val="en-US" w:eastAsia="en-US" w:bidi="ar-SA"/>
              </w:rPr>
              <w:t xml:space="preserve">, în vederea analizării oportunității de a depune un proiect în cadrul </w:t>
            </w:r>
            <w:r>
              <w:rPr>
                <w:rStyle w:val="Strong"/>
                <w:rFonts w:eastAsia="" w:ascii="Trebuchet MS" w:hAnsi="Trebuchet MS" w:eastAsiaTheme="majorEastAsia"/>
                <w:sz w:val="22"/>
                <w:szCs w:val="22"/>
                <w:lang w:val="en-US" w:eastAsia="en-US" w:bidi="ar-SA"/>
              </w:rPr>
              <w:t>Programului Tranziție Justă 2021-2027 – „Sprijin pentru dezvoltarea microîntreprinderilor din județul Galați”</w:t>
            </w:r>
            <w:r>
              <w:rPr>
                <w:rFonts w:ascii="Trebuchet MS" w:hAnsi="Trebuchet MS"/>
                <w:sz w:val="22"/>
                <w:szCs w:val="22"/>
                <w:lang w:val="en-US" w:eastAsia="en-US" w:bidi="ar-SA"/>
              </w:rPr>
              <w:t xml:space="preserve">, cod apel </w:t>
            </w:r>
            <w:r>
              <w:rPr>
                <w:rStyle w:val="Strong"/>
                <w:rFonts w:eastAsia="" w:ascii="Trebuchet MS" w:hAnsi="Trebuchet MS" w:eastAsiaTheme="majorEastAsia"/>
                <w:sz w:val="22"/>
                <w:szCs w:val="22"/>
                <w:lang w:val="en-US" w:eastAsia="en-US" w:bidi="ar-SA"/>
              </w:rPr>
              <w:t>PTJ/P4/1.2/1.B/GL</w:t>
            </w:r>
            <w:r>
              <w:rPr>
                <w:rFonts w:ascii="Trebuchet MS" w:hAnsi="Trebuchet MS"/>
                <w:sz w:val="22"/>
                <w:szCs w:val="22"/>
                <w:lang w:val="en-US" w:eastAsia="en-US" w:bidi="ar-SA"/>
              </w:rPr>
              <w:t xml:space="preserve">, și vă adresez respectuos solicitarea de a ne transmite dacă activitățile economice desfășurate sub codul </w:t>
            </w:r>
            <w:r>
              <w:rPr>
                <w:rStyle w:val="Strong"/>
                <w:rFonts w:eastAsia="" w:ascii="Trebuchet MS" w:hAnsi="Trebuchet MS" w:eastAsiaTheme="majorEastAsia"/>
                <w:sz w:val="22"/>
                <w:szCs w:val="22"/>
                <w:lang w:val="en-US" w:eastAsia="en-US" w:bidi="ar-SA"/>
              </w:rPr>
              <w:t>CAEN 3212 – Fabricarea bijuteriilor și articolelor similare din metale și pietre prețioase</w:t>
            </w:r>
            <w:r>
              <w:rPr>
                <w:rFonts w:ascii="Trebuchet MS" w:hAnsi="Trebuchet MS"/>
                <w:sz w:val="22"/>
                <w:szCs w:val="22"/>
                <w:lang w:val="en-US" w:eastAsia="en-US" w:bidi="ar-SA"/>
              </w:rPr>
              <w:t xml:space="preserve"> sunt eligibile pentru finanțare, conform Ghidului Solicitantului sau altor criterii oficiale aplicabile.</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Vă mulțumesc anticipat pentru sprijinul acordat și aștept cu interes răspunsul dumneavoastră.</w:t>
            </w:r>
          </w:p>
        </w:tc>
        <w:tc>
          <w:tcPr>
            <w:tcW w:w="5113"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en-US" w:eastAsia="en-US" w:bidi="ar-SA"/>
              </w:rPr>
              <w:t xml:space="preserve">Referitor la solicitarea dvs. de clarificare a eligibilității unui potențial proiect cu codul </w:t>
            </w:r>
            <w:r>
              <w:rPr>
                <w:rStyle w:val="Strong"/>
                <w:rFonts w:eastAsia="Aptos" w:cs="" w:ascii="Trebuchet MS" w:hAnsi="Trebuchet MS"/>
                <w:kern w:val="2"/>
                <w:sz w:val="22"/>
                <w:szCs w:val="22"/>
                <w:lang w:val="en-US" w:eastAsia="en-US" w:bidi="ar-SA"/>
              </w:rPr>
              <w:t>CAEN 3212 – Fabricarea bijuteriilor și articolelor similare din metale și pietre prețioase</w:t>
            </w:r>
            <w:r>
              <w:rPr>
                <w:rFonts w:eastAsia="Aptos" w:cs="" w:ascii="Trebuchet MS" w:hAnsi="Trebuchet MS"/>
                <w:kern w:val="2"/>
                <w:sz w:val="22"/>
                <w:szCs w:val="22"/>
                <w:lang w:val="en-US" w:eastAsia="en-US" w:bidi="ar-SA"/>
              </w:rPr>
              <w:t xml:space="preserve"> la finanțare în cadrul acțiunii menționate, vă informăm că proiectul este eligibil dacă acest cod CAEN nu se regăsește în </w:t>
            </w:r>
            <w:r>
              <w:rPr>
                <w:rStyle w:val="Strong"/>
                <w:rFonts w:eastAsia="Aptos" w:cs="" w:ascii="Trebuchet MS" w:hAnsi="Trebuchet MS"/>
                <w:kern w:val="2"/>
                <w:sz w:val="22"/>
                <w:szCs w:val="22"/>
                <w:lang w:val="en-US" w:eastAsia="en-US" w:bidi="ar-SA"/>
              </w:rPr>
              <w:t>Lista codurilor neeligibile</w:t>
            </w:r>
            <w:r>
              <w:rPr>
                <w:rFonts w:eastAsia="Aptos" w:cs="" w:ascii="Trebuchet MS" w:hAnsi="Trebuchet MS"/>
                <w:kern w:val="2"/>
                <w:sz w:val="22"/>
                <w:szCs w:val="22"/>
                <w:lang w:val="en-US" w:eastAsia="en-US" w:bidi="ar-SA"/>
              </w:rPr>
              <w:t xml:space="preserve">, prevăzută de </w:t>
            </w:r>
            <w:r>
              <w:rPr>
                <w:rStyle w:val="Strong"/>
                <w:rFonts w:eastAsia="Aptos" w:cs="" w:ascii="Trebuchet MS" w:hAnsi="Trebuchet MS"/>
                <w:kern w:val="2"/>
                <w:sz w:val="22"/>
                <w:szCs w:val="22"/>
                <w:lang w:val="en-US" w:eastAsia="en-US" w:bidi="ar-SA"/>
              </w:rPr>
              <w:t>Anexa nr. 2 – Schema de măsuri de ajutor de minimis</w:t>
            </w:r>
            <w:r>
              <w:rPr>
                <w:rFonts w:eastAsia="Aptos" w:cs="" w:ascii="Trebuchet MS" w:hAnsi="Trebuchet MS"/>
                <w:kern w:val="2"/>
                <w:sz w:val="22"/>
                <w:szCs w:val="22"/>
                <w:lang w:val="en-US" w:eastAsia="en-US" w:bidi="ar-SA"/>
              </w:rPr>
              <w:t>.</w:t>
            </w:r>
          </w:p>
        </w:tc>
      </w:tr>
      <w:tr>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27</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31108/19.03.2025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en-US" w:eastAsia="en-US" w:bidi="ar-SA"/>
              </w:rPr>
              <w:t xml:space="preserve">Referitor la </w:t>
            </w:r>
            <w:r>
              <w:rPr>
                <w:rStyle w:val="Strong"/>
                <w:rFonts w:eastAsia="Aptos" w:cs="" w:ascii="Trebuchet MS" w:hAnsi="Trebuchet MS"/>
                <w:kern w:val="2"/>
                <w:sz w:val="22"/>
                <w:szCs w:val="22"/>
                <w:lang w:val="en-US" w:eastAsia="en-US" w:bidi="ar-SA"/>
              </w:rPr>
              <w:t>PTJ, apel destinat microîntreprinderilor</w:t>
            </w:r>
            <w:r>
              <w:rPr>
                <w:rFonts w:eastAsia="Aptos" w:cs="" w:ascii="Trebuchet MS" w:hAnsi="Trebuchet MS"/>
                <w:kern w:val="2"/>
                <w:sz w:val="22"/>
                <w:szCs w:val="22"/>
                <w:lang w:val="en-US" w:eastAsia="en-US" w:bidi="ar-SA"/>
              </w:rPr>
              <w:t>, vă rugăm să ne comunicați ultima metodologie revizuită, precum și modul în care putem să o accesăm și să intrăm în posesia ei pentru studiu.</w:t>
            </w:r>
          </w:p>
        </w:tc>
        <w:tc>
          <w:tcPr>
            <w:tcW w:w="5113"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 xml:space="preserve">Referitor la solicitarea dvs. de clarificare a termenului de publicare a </w:t>
            </w:r>
            <w:r>
              <w:rPr>
                <w:rStyle w:val="Strong"/>
                <w:rFonts w:eastAsia="" w:ascii="Trebuchet MS" w:hAnsi="Trebuchet MS" w:eastAsiaTheme="majorEastAsia"/>
                <w:sz w:val="22"/>
                <w:szCs w:val="22"/>
                <w:lang w:val="en-US" w:eastAsia="en-US" w:bidi="ar-SA"/>
              </w:rPr>
              <w:t>Metodologiei și criteriilor de evaluare și selecție</w:t>
            </w:r>
            <w:r>
              <w:rPr>
                <w:rFonts w:ascii="Trebuchet MS" w:hAnsi="Trebuchet MS"/>
                <w:sz w:val="22"/>
                <w:szCs w:val="22"/>
                <w:lang w:val="en-US" w:eastAsia="en-US" w:bidi="ar-SA"/>
              </w:rPr>
              <w:t xml:space="preserve"> aferente </w:t>
            </w:r>
            <w:r>
              <w:rPr>
                <w:rStyle w:val="Strong"/>
                <w:rFonts w:eastAsia="" w:ascii="Trebuchet MS" w:hAnsi="Trebuchet MS" w:eastAsiaTheme="majorEastAsia"/>
                <w:sz w:val="22"/>
                <w:szCs w:val="22"/>
                <w:lang w:val="en-US" w:eastAsia="en-US" w:bidi="ar-SA"/>
              </w:rPr>
              <w:t>Ghidului Solicitantului</w:t>
            </w:r>
            <w:r>
              <w:rPr>
                <w:rFonts w:ascii="Trebuchet MS" w:hAnsi="Trebuchet MS"/>
                <w:sz w:val="22"/>
                <w:szCs w:val="22"/>
                <w:lang w:val="en-US" w:eastAsia="en-US" w:bidi="ar-SA"/>
              </w:rPr>
              <w:t xml:space="preserve"> pentru acțiuni care sprijină </w:t>
            </w:r>
            <w:r>
              <w:rPr>
                <w:rStyle w:val="Emphasis"/>
                <w:rFonts w:eastAsia="" w:ascii="Trebuchet MS" w:hAnsi="Trebuchet MS" w:eastAsiaTheme="majorEastAsia"/>
                <w:sz w:val="22"/>
                <w:szCs w:val="22"/>
                <w:lang w:val="en-US" w:eastAsia="en-US" w:bidi="ar-SA"/>
              </w:rPr>
              <w:t>Dezvoltarea Întreprinderilor și Antreprenoriatului</w:t>
            </w:r>
            <w:r>
              <w:rPr>
                <w:rFonts w:ascii="Trebuchet MS" w:hAnsi="Trebuchet MS"/>
                <w:sz w:val="22"/>
                <w:szCs w:val="22"/>
                <w:lang w:val="en-US" w:eastAsia="en-US" w:bidi="ar-SA"/>
              </w:rPr>
              <w:t xml:space="preserve"> – componenta prin care este sprijinită creșterea durabilă a microîntreprinderilor și crearea de noi locuri de muncă – vă informăm că acestea au fost publicate pe site-ul MIPE în data de </w:t>
            </w:r>
            <w:r>
              <w:rPr>
                <w:rStyle w:val="Strong"/>
                <w:rFonts w:eastAsia="" w:ascii="Trebuchet MS" w:hAnsi="Trebuchet MS" w:eastAsiaTheme="majorEastAsia"/>
                <w:sz w:val="22"/>
                <w:szCs w:val="22"/>
                <w:lang w:val="en-US" w:eastAsia="en-US" w:bidi="ar-SA"/>
              </w:rPr>
              <w:t>19 martie 2025</w:t>
            </w:r>
            <w:r>
              <w:rPr>
                <w:rFonts w:ascii="Trebuchet MS" w:hAnsi="Trebuchet MS"/>
                <w:sz w:val="22"/>
                <w:szCs w:val="22"/>
                <w:lang w:val="en-US" w:eastAsia="en-US" w:bidi="ar-SA"/>
              </w:rPr>
              <w:t>:</w:t>
            </w:r>
          </w:p>
          <w:p>
            <w:pPr>
              <w:pStyle w:val="NormalWeb"/>
              <w:widowControl/>
              <w:spacing w:before="280" w:after="280"/>
              <w:jc w:val="both"/>
              <w:rPr>
                <w:rFonts w:ascii="Trebuchet MS" w:hAnsi="Trebuchet MS"/>
                <w:sz w:val="22"/>
                <w:szCs w:val="22"/>
              </w:rPr>
            </w:pPr>
            <w:r>
              <w:rPr>
                <w:rFonts w:cs="Apple Color Emoji" w:ascii="Apple Color Emoji" w:hAnsi="Apple Color Emoji"/>
                <w:sz w:val="22"/>
                <w:szCs w:val="22"/>
                <w:lang w:val="en-US" w:eastAsia="en-US" w:bidi="ar-SA"/>
              </w:rPr>
              <w:t>🔗</w:t>
            </w:r>
            <w:r>
              <w:rPr>
                <w:rFonts w:ascii="Trebuchet MS" w:hAnsi="Trebuchet MS"/>
                <w:sz w:val="22"/>
                <w:szCs w:val="22"/>
                <w:lang w:val="en-US" w:eastAsia="en-US" w:bidi="ar-SA"/>
              </w:rPr>
              <w:t xml:space="preserve"> </w:t>
            </w:r>
            <w:hyperlink r:id="rId6" w:tgtFrame="_new">
              <w:r>
                <w:rPr>
                  <w:rStyle w:val="Hyperlink"/>
                  <w:rFonts w:eastAsia="" w:ascii="Trebuchet MS" w:hAnsi="Trebuchet MS" w:eastAsiaTheme="majorEastAsia"/>
                  <w:sz w:val="22"/>
                  <w:szCs w:val="22"/>
                  <w:lang w:val="en-US" w:eastAsia="en-US" w:bidi="ar-SA"/>
                </w:rPr>
                <w:t>Metodologia și criteriile de evaluare și selecție – MIPE</w:t>
              </w:r>
            </w:hyperlink>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 xml:space="preserve">De asemenea, în data de </w:t>
            </w:r>
            <w:r>
              <w:rPr>
                <w:rStyle w:val="Strong"/>
                <w:rFonts w:eastAsia="" w:ascii="Trebuchet MS" w:hAnsi="Trebuchet MS" w:eastAsiaTheme="majorEastAsia"/>
                <w:sz w:val="22"/>
                <w:szCs w:val="22"/>
                <w:lang w:val="en-US" w:eastAsia="en-US" w:bidi="ar-SA"/>
              </w:rPr>
              <w:t>16 aprilie 2025</w:t>
            </w:r>
            <w:r>
              <w:rPr>
                <w:rFonts w:ascii="Trebuchet MS" w:hAnsi="Trebuchet MS"/>
                <w:sz w:val="22"/>
                <w:szCs w:val="22"/>
                <w:lang w:val="en-US" w:eastAsia="en-US" w:bidi="ar-SA"/>
              </w:rPr>
              <w:t xml:space="preserve"> a fost publicat </w:t>
            </w:r>
            <w:r>
              <w:rPr>
                <w:rStyle w:val="Strong"/>
                <w:rFonts w:eastAsia="" w:ascii="Trebuchet MS" w:hAnsi="Trebuchet MS" w:eastAsiaTheme="majorEastAsia"/>
                <w:sz w:val="22"/>
                <w:szCs w:val="22"/>
                <w:lang w:val="en-US" w:eastAsia="en-US" w:bidi="ar-SA"/>
              </w:rPr>
              <w:t>Ghidul Solicitantului pentru Intervenții care sprijină Dezvoltarea Întreprinderilor și a Antreprenoriatului, componenta „Sprijin pentru creșterea durabilă a microîntreprinderilor și crearea de locuri de muncă”</w:t>
            </w:r>
            <w:r>
              <w:rPr>
                <w:rFonts w:ascii="Trebuchet MS" w:hAnsi="Trebuchet MS"/>
                <w:sz w:val="22"/>
                <w:szCs w:val="22"/>
                <w:lang w:val="en-US" w:eastAsia="en-US" w:bidi="ar-SA"/>
              </w:rPr>
              <w:t>:</w:t>
            </w:r>
          </w:p>
          <w:p>
            <w:pPr>
              <w:pStyle w:val="NormalWeb"/>
              <w:widowControl/>
              <w:spacing w:before="280" w:after="0"/>
              <w:jc w:val="both"/>
              <w:rPr>
                <w:rFonts w:ascii="Trebuchet MS" w:hAnsi="Trebuchet MS"/>
                <w:sz w:val="22"/>
                <w:szCs w:val="22"/>
              </w:rPr>
            </w:pPr>
            <w:r>
              <w:rPr>
                <w:rFonts w:cs="Apple Color Emoji" w:ascii="Apple Color Emoji" w:hAnsi="Apple Color Emoji"/>
                <w:sz w:val="22"/>
                <w:szCs w:val="22"/>
                <w:lang w:val="en-US" w:eastAsia="en-US" w:bidi="ar-SA"/>
              </w:rPr>
              <w:t>🔗</w:t>
            </w:r>
            <w:r>
              <w:rPr>
                <w:rFonts w:ascii="Trebuchet MS" w:hAnsi="Trebuchet MS"/>
                <w:sz w:val="22"/>
                <w:szCs w:val="22"/>
                <w:lang w:val="en-US" w:eastAsia="en-US" w:bidi="ar-SA"/>
              </w:rPr>
              <w:t xml:space="preserve"> </w:t>
            </w:r>
            <w:hyperlink r:id="rId7" w:tgtFrame="_new">
              <w:r>
                <w:rPr>
                  <w:rStyle w:val="Hyperlink"/>
                  <w:rFonts w:eastAsia="" w:ascii="Trebuchet MS" w:hAnsi="Trebuchet MS" w:eastAsiaTheme="majorEastAsia"/>
                  <w:sz w:val="22"/>
                  <w:szCs w:val="22"/>
                  <w:lang w:val="en-US" w:eastAsia="en-US" w:bidi="ar-SA"/>
                </w:rPr>
                <w:t>Ghidul Solicitantului – MIPE</w:t>
              </w:r>
            </w:hyperlink>
          </w:p>
        </w:tc>
      </w:tr>
      <w:tr>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28</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25088/06.03.2025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Solicitare:</w:t>
            </w:r>
            <w:r>
              <w:rPr>
                <w:rFonts w:ascii="Trebuchet MS" w:hAnsi="Trebuchet MS"/>
                <w:sz w:val="22"/>
                <w:szCs w:val="22"/>
                <w:lang w:val="en-US" w:eastAsia="en-US" w:bidi="ar-SA"/>
              </w:rPr>
              <w:br/>
              <w:t xml:space="preserve">Bună ziua, aș dori și eu informații despre </w:t>
            </w:r>
            <w:r>
              <w:rPr>
                <w:rStyle w:val="Emphasis"/>
                <w:rFonts w:eastAsia="" w:ascii="Trebuchet MS" w:hAnsi="Trebuchet MS" w:eastAsiaTheme="majorEastAsia"/>
                <w:sz w:val="22"/>
                <w:szCs w:val="22"/>
                <w:lang w:val="en-US" w:eastAsia="en-US" w:bidi="ar-SA"/>
              </w:rPr>
              <w:t>Tranziție Justă</w:t>
            </w:r>
            <w:r>
              <w:rPr>
                <w:rFonts w:ascii="Trebuchet MS" w:hAnsi="Trebuchet MS"/>
                <w:sz w:val="22"/>
                <w:szCs w:val="22"/>
                <w:lang w:val="en-US" w:eastAsia="en-US" w:bidi="ar-SA"/>
              </w:rPr>
              <w:t>, dacă se acordă fonduri pentru firme nou-înființate?</w:t>
            </w:r>
          </w:p>
        </w:tc>
        <w:tc>
          <w:tcPr>
            <w:tcW w:w="5113"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 xml:space="preserve">Referitor la solicitarea de transmitere a apelurilor </w:t>
            </w:r>
            <w:r>
              <w:rPr>
                <w:rStyle w:val="Strong"/>
                <w:rFonts w:eastAsia="" w:ascii="Trebuchet MS" w:hAnsi="Trebuchet MS" w:eastAsiaTheme="majorEastAsia"/>
                <w:sz w:val="22"/>
                <w:szCs w:val="22"/>
                <w:lang w:val="en-US" w:eastAsia="en-US" w:bidi="ar-SA"/>
              </w:rPr>
              <w:t>PTJ</w:t>
            </w:r>
            <w:r>
              <w:rPr>
                <w:rFonts w:ascii="Trebuchet MS" w:hAnsi="Trebuchet MS"/>
                <w:sz w:val="22"/>
                <w:szCs w:val="22"/>
                <w:lang w:val="en-US" w:eastAsia="en-US" w:bidi="ar-SA"/>
              </w:rPr>
              <w:t xml:space="preserve"> prin care sunt finanțate firmele nou-înființate, vă informăm că Autoritatea de Management (AM) PTJ a lansat în luna </w:t>
            </w:r>
            <w:r>
              <w:rPr>
                <w:rStyle w:val="Strong"/>
                <w:rFonts w:eastAsia="" w:ascii="Trebuchet MS" w:hAnsi="Trebuchet MS" w:eastAsiaTheme="majorEastAsia"/>
                <w:sz w:val="22"/>
                <w:szCs w:val="22"/>
                <w:lang w:val="en-US" w:eastAsia="en-US" w:bidi="ar-SA"/>
              </w:rPr>
              <w:t>aprilie 2025</w:t>
            </w:r>
            <w:r>
              <w:rPr>
                <w:rFonts w:ascii="Trebuchet MS" w:hAnsi="Trebuchet MS"/>
                <w:sz w:val="22"/>
                <w:szCs w:val="22"/>
                <w:lang w:val="en-US" w:eastAsia="en-US" w:bidi="ar-SA"/>
              </w:rPr>
              <w:t xml:space="preserve"> </w:t>
            </w:r>
            <w:r>
              <w:rPr>
                <w:rStyle w:val="Strong"/>
                <w:rFonts w:eastAsia="" w:ascii="Trebuchet MS" w:hAnsi="Trebuchet MS" w:eastAsiaTheme="majorEastAsia"/>
                <w:sz w:val="22"/>
                <w:szCs w:val="22"/>
                <w:lang w:val="en-US" w:eastAsia="en-US" w:bidi="ar-SA"/>
              </w:rPr>
              <w:t>Ghidul Solicitantului pentru acțiuni care sprijină Dezvoltarea Întreprinderilor și Antreprenoriatului</w:t>
            </w:r>
            <w:r>
              <w:rPr>
                <w:rFonts w:ascii="Trebuchet MS" w:hAnsi="Trebuchet MS"/>
                <w:sz w:val="22"/>
                <w:szCs w:val="22"/>
                <w:lang w:val="en-US" w:eastAsia="en-US" w:bidi="ar-SA"/>
              </w:rPr>
              <w:t>, componenta prin care este sprijinită creșterea durabilă a microîntreprinderilor și crearea de noi locuri de muncă.</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 xml:space="preserve">În corelare cu angajamentele asumate prin program și cu strategiile de dezvoltare ale teritoriilor vizate, AM PTJ a lansat în luna </w:t>
            </w:r>
            <w:r>
              <w:rPr>
                <w:rStyle w:val="Strong"/>
                <w:rFonts w:eastAsia="" w:ascii="Trebuchet MS" w:hAnsi="Trebuchet MS" w:eastAsiaTheme="majorEastAsia"/>
                <w:sz w:val="22"/>
                <w:szCs w:val="22"/>
                <w:lang w:val="en-US" w:eastAsia="en-US" w:bidi="ar-SA"/>
              </w:rPr>
              <w:t>octombrie 2023</w:t>
            </w:r>
            <w:r>
              <w:rPr>
                <w:rFonts w:ascii="Trebuchet MS" w:hAnsi="Trebuchet MS"/>
                <w:sz w:val="22"/>
                <w:szCs w:val="22"/>
                <w:lang w:val="en-US" w:eastAsia="en-US" w:bidi="ar-SA"/>
              </w:rPr>
              <w:t xml:space="preserve"> </w:t>
            </w:r>
            <w:r>
              <w:rPr>
                <w:rStyle w:val="Strong"/>
                <w:rFonts w:eastAsia="" w:ascii="Trebuchet MS" w:hAnsi="Trebuchet MS" w:eastAsiaTheme="majorEastAsia"/>
                <w:sz w:val="22"/>
                <w:szCs w:val="22"/>
                <w:lang w:val="en-US" w:eastAsia="en-US" w:bidi="ar-SA"/>
              </w:rPr>
              <w:t>Ghidul Solicitantului pentru acțiunea Dezvoltarea Întreprinderilor și Antreprenoriatului</w:t>
            </w:r>
            <w:r>
              <w:rPr>
                <w:rFonts w:ascii="Trebuchet MS" w:hAnsi="Trebuchet MS"/>
                <w:sz w:val="22"/>
                <w:szCs w:val="22"/>
                <w:lang w:val="en-US" w:eastAsia="en-US" w:bidi="ar-SA"/>
              </w:rPr>
              <w:t xml:space="preserve">, în cadrul căruia a fost aprobată și publicată în Monitorul Oficial </w:t>
            </w:r>
            <w:r>
              <w:rPr>
                <w:rStyle w:val="Strong"/>
                <w:rFonts w:eastAsia="" w:ascii="Trebuchet MS" w:hAnsi="Trebuchet MS" w:eastAsiaTheme="majorEastAsia"/>
                <w:sz w:val="22"/>
                <w:szCs w:val="22"/>
                <w:lang w:val="en-US" w:eastAsia="en-US" w:bidi="ar-SA"/>
              </w:rPr>
              <w:t>Schema de ajutor de stat și de minimis</w:t>
            </w:r>
            <w:r>
              <w:rPr>
                <w:rFonts w:ascii="Trebuchet MS" w:hAnsi="Trebuchet MS"/>
                <w:sz w:val="22"/>
                <w:szCs w:val="22"/>
                <w:lang w:val="en-US" w:eastAsia="en-US" w:bidi="ar-SA"/>
              </w:rPr>
              <w:t xml:space="preserve"> pentru finanțarea investițiilor destinate dezvoltării IMM-urilor care sprijină creșterea durabilă și crearea de locuri de muncă în cadrul Programului Tranziție Justă 2021-2027.</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 xml:space="preserve">Schema de ajutor de stat și de minimis se adresează IMM-urilor. Valoarea finanțării nerambursabile ce poate fi acordată pentru un proiect, sub formă de ajutor de stat regional și ajutor de minimis, este, după caz, de minimum </w:t>
            </w:r>
            <w:r>
              <w:rPr>
                <w:rStyle w:val="Strong"/>
                <w:rFonts w:eastAsia="" w:ascii="Trebuchet MS" w:hAnsi="Trebuchet MS" w:eastAsiaTheme="majorEastAsia"/>
                <w:sz w:val="22"/>
                <w:szCs w:val="22"/>
                <w:lang w:val="en-US" w:eastAsia="en-US" w:bidi="ar-SA"/>
              </w:rPr>
              <w:t>300.000 euro</w:t>
            </w:r>
            <w:r>
              <w:rPr>
                <w:rFonts w:ascii="Trebuchet MS" w:hAnsi="Trebuchet MS"/>
                <w:sz w:val="22"/>
                <w:szCs w:val="22"/>
                <w:lang w:val="en-US" w:eastAsia="en-US" w:bidi="ar-SA"/>
              </w:rPr>
              <w:t xml:space="preserve"> și maximum </w:t>
            </w:r>
            <w:r>
              <w:rPr>
                <w:rStyle w:val="Strong"/>
                <w:rFonts w:eastAsia="" w:ascii="Trebuchet MS" w:hAnsi="Trebuchet MS" w:eastAsiaTheme="majorEastAsia"/>
                <w:sz w:val="22"/>
                <w:szCs w:val="22"/>
                <w:lang w:val="en-US" w:eastAsia="en-US" w:bidi="ar-SA"/>
              </w:rPr>
              <w:t>8.000.000 euro</w:t>
            </w:r>
            <w:r>
              <w:rPr>
                <w:rFonts w:ascii="Trebuchet MS" w:hAnsi="Trebuchet MS"/>
                <w:sz w:val="22"/>
                <w:szCs w:val="22"/>
                <w:lang w:val="en-US" w:eastAsia="en-US" w:bidi="ar-SA"/>
              </w:rPr>
              <w:t>, pentru cele două tipuri de ajutoare cumulate.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 xml:space="preserve">Acțiunea PTJ „Dezvoltarea Întreprinderilor și Antreprenoriatului”, care contribuie la </w:t>
            </w:r>
            <w:r>
              <w:rPr>
                <w:rStyle w:val="Strong"/>
                <w:rFonts w:eastAsia="" w:ascii="Trebuchet MS" w:hAnsi="Trebuchet MS" w:eastAsiaTheme="majorEastAsia"/>
                <w:sz w:val="22"/>
                <w:szCs w:val="22"/>
                <w:lang w:val="en-US" w:eastAsia="en-US" w:bidi="ar-SA"/>
              </w:rPr>
              <w:t>Obiectivele Platformei STEP</w:t>
            </w:r>
            <w:r>
              <w:rPr>
                <w:rFonts w:ascii="Trebuchet MS" w:hAnsi="Trebuchet MS"/>
                <w:sz w:val="22"/>
                <w:szCs w:val="22"/>
                <w:lang w:val="en-US" w:eastAsia="en-US" w:bidi="ar-SA"/>
              </w:rPr>
              <w:t xml:space="preserve">, vizează </w:t>
            </w:r>
            <w:r>
              <w:rPr>
                <w:rStyle w:val="Strong"/>
                <w:rFonts w:eastAsia="" w:ascii="Trebuchet MS" w:hAnsi="Trebuchet MS" w:eastAsiaTheme="majorEastAsia"/>
                <w:sz w:val="22"/>
                <w:szCs w:val="22"/>
                <w:lang w:val="en-US" w:eastAsia="en-US" w:bidi="ar-SA"/>
              </w:rPr>
              <w:t>întreprinderile mari</w:t>
            </w:r>
            <w:r>
              <w:rPr>
                <w:rFonts w:ascii="Trebuchet MS" w:hAnsi="Trebuchet MS"/>
                <w:sz w:val="22"/>
                <w:szCs w:val="22"/>
                <w:lang w:val="en-US" w:eastAsia="en-US" w:bidi="ar-SA"/>
              </w:rPr>
              <w:t xml:space="preserve">, Ghidul Solicitantului pentru acest apel având ca dată estimată de lansare luna </w:t>
            </w:r>
            <w:r>
              <w:rPr>
                <w:rStyle w:val="Strong"/>
                <w:rFonts w:eastAsia="" w:ascii="Trebuchet MS" w:hAnsi="Trebuchet MS" w:eastAsiaTheme="majorEastAsia"/>
                <w:sz w:val="22"/>
                <w:szCs w:val="22"/>
                <w:lang w:val="en-US" w:eastAsia="en-US" w:bidi="ar-SA"/>
              </w:rPr>
              <w:t>septembrie 2025</w:t>
            </w:r>
            <w:r>
              <w:rPr>
                <w:rFonts w:ascii="Trebuchet MS" w:hAnsi="Trebuchet MS"/>
                <w:sz w:val="22"/>
                <w:szCs w:val="22"/>
                <w:lang w:val="en-US" w:eastAsia="en-US" w:bidi="ar-SA"/>
              </w:rPr>
              <w:t>.</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Sperăm că aceste informații sunt de natură să clarifice solicitarea dumneavoastră și vă încurajăm să urmăriți în continuare site-ul MIPE:</w:t>
              <w:br/>
            </w:r>
            <w:r>
              <w:rPr>
                <w:rFonts w:cs="Apple Color Emoji" w:ascii="Apple Color Emoji" w:hAnsi="Apple Color Emoji"/>
                <w:sz w:val="22"/>
                <w:szCs w:val="22"/>
                <w:lang w:val="en-US" w:eastAsia="en-US" w:bidi="ar-SA"/>
              </w:rPr>
              <w:t>🔗</w:t>
            </w:r>
            <w:r>
              <w:rPr>
                <w:rFonts w:ascii="Trebuchet MS" w:hAnsi="Trebuchet MS"/>
                <w:sz w:val="22"/>
                <w:szCs w:val="22"/>
                <w:lang w:val="en-US" w:eastAsia="en-US" w:bidi="ar-SA"/>
              </w:rPr>
              <w:t xml:space="preserve"> </w:t>
            </w:r>
            <w:hyperlink r:id="rId8" w:tgtFrame="_new">
              <w:r>
                <w:rPr>
                  <w:rStyle w:val="Hyperlink"/>
                  <w:rFonts w:eastAsia="" w:ascii="Trebuchet MS" w:hAnsi="Trebuchet MS" w:eastAsiaTheme="majorEastAsia"/>
                  <w:sz w:val="22"/>
                  <w:szCs w:val="22"/>
                  <w:lang w:val="en-US" w:eastAsia="en-US" w:bidi="ar-SA"/>
                </w:rPr>
                <w:t>Despre program – Programare</w:t>
              </w:r>
            </w:hyperlink>
            <w:r>
              <w:rPr>
                <w:rFonts w:ascii="Trebuchet MS" w:hAnsi="Trebuchet MS"/>
                <w:sz w:val="22"/>
                <w:szCs w:val="22"/>
                <w:lang w:val="en-US" w:eastAsia="en-US" w:bidi="ar-SA"/>
              </w:rPr>
              <w:br/>
            </w:r>
            <w:r>
              <w:rPr>
                <w:rFonts w:cs="Apple Color Emoji" w:ascii="Apple Color Emoji" w:hAnsi="Apple Color Emoji"/>
                <w:sz w:val="22"/>
                <w:szCs w:val="22"/>
                <w:lang w:val="en-US" w:eastAsia="en-US" w:bidi="ar-SA"/>
              </w:rPr>
              <w:t>🔗</w:t>
            </w:r>
            <w:r>
              <w:rPr>
                <w:rFonts w:ascii="Trebuchet MS" w:hAnsi="Trebuchet MS"/>
                <w:sz w:val="22"/>
                <w:szCs w:val="22"/>
                <w:lang w:val="en-US" w:eastAsia="en-US" w:bidi="ar-SA"/>
              </w:rPr>
              <w:t xml:space="preserve"> </w:t>
            </w:r>
            <w:hyperlink r:id="rId9" w:tgtFrame="_new">
              <w:r>
                <w:rPr>
                  <w:rStyle w:val="Hyperlink"/>
                  <w:rFonts w:eastAsia="" w:ascii="Trebuchet MS" w:hAnsi="Trebuchet MS" w:eastAsiaTheme="majorEastAsia"/>
                  <w:sz w:val="22"/>
                  <w:szCs w:val="22"/>
                  <w:lang w:val="en-US" w:eastAsia="en-US" w:bidi="ar-SA"/>
                </w:rPr>
                <w:t>Noutăți PTJ</w:t>
              </w:r>
            </w:hyperlink>
          </w:p>
        </w:tc>
      </w:tr>
      <w:tr>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29</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53601/12.05.2025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a)</w:t>
            </w:r>
            <w:r>
              <w:rPr>
                <w:rFonts w:ascii="Trebuchet MS" w:hAnsi="Trebuchet MS"/>
                <w:sz w:val="22"/>
                <w:szCs w:val="22"/>
                <w:lang w:val="en-US" w:eastAsia="en-US" w:bidi="ar-SA"/>
              </w:rPr>
              <w:t xml:space="preserve"> În cazul în care solicitantul înființează punctul de lucru într-un spațiu existent, închiriat, și autorizează codul CAEN la punctul de lucru în luna mai 2025, desfășoară activitate la punctul de lucru și înscrie proiectul în luna iulie 2025, cum demonstrează că a desfășurat activitate în perioada mai 2025 – iulie 2025? Este suficient certificatul constatator emis de ONRC și declarația pe proprie răspundere a solicitantului? Dacă nu este suficient, vă rugăm să clarificați cu ce alte înscrisuri va dovedi solicitantul desfășurarea activității la punctul de lucru.</w:t>
            </w:r>
          </w:p>
          <w:p>
            <w:pPr>
              <w:pStyle w:val="NormalWeb"/>
              <w:widowControl/>
              <w:spacing w:before="28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b)</w:t>
            </w:r>
            <w:r>
              <w:rPr>
                <w:rFonts w:ascii="Trebuchet MS" w:hAnsi="Trebuchet MS"/>
                <w:sz w:val="22"/>
                <w:szCs w:val="22"/>
                <w:lang w:val="en-US" w:eastAsia="en-US" w:bidi="ar-SA"/>
              </w:rPr>
              <w:t xml:space="preserve"> În cazul în care solicitantul înființează punctul de lucru într-un spațiu existent, închiriat, autorizează codul CAEN la punctul de lucru în luna mai 2025 și înscrie proiectul în luna iulie 2025, dar nu desfășoară activitate la punctul de lucru, sunt considerate investiții în infrastructură investițiile în amenajarea spațiului (execuția de lucrări care nu necesită obținerea autorizației de construire, înlocuirea acoperișului, izolare mai bună a clădirii etc.), astfel încât proiectul să fie eligibil? Este obligatoriu ca aceste investiții în amenajarea spațiului să fie incluse în categoria cheltuielilor eligibile? Sau pot fi incluse și în categoria cheltuielilor neeligibile?</w:t>
            </w:r>
          </w:p>
          <w:p>
            <w:pPr>
              <w:pStyle w:val="NormalWeb"/>
              <w:widowControl/>
              <w:spacing w:before="28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c)</w:t>
            </w:r>
            <w:r>
              <w:rPr>
                <w:rFonts w:ascii="Trebuchet MS" w:hAnsi="Trebuchet MS"/>
                <w:sz w:val="22"/>
                <w:szCs w:val="22"/>
                <w:lang w:val="en-US" w:eastAsia="en-US" w:bidi="ar-SA"/>
              </w:rPr>
              <w:t xml:space="preserve"> În cazul unui proiect care vizează înființarea/modernizarea unui punct de lucru în domeniul medical într-o clădire existentă, executarea de compartimentări interioare care nu necesită obținerea autorizației de construire, necesare pentru realizarea fluxului de prestări servicii, este considerată modificare/îmbunătățire substanțială?</w:t>
            </w:r>
          </w:p>
          <w:p>
            <w:pPr>
              <w:pStyle w:val="NormalWeb"/>
              <w:widowControl/>
              <w:spacing w:before="28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d)</w:t>
            </w:r>
            <w:r>
              <w:rPr>
                <w:rFonts w:ascii="Trebuchet MS" w:hAnsi="Trebuchet MS"/>
                <w:sz w:val="22"/>
                <w:szCs w:val="22"/>
                <w:lang w:val="en-US" w:eastAsia="en-US" w:bidi="ar-SA"/>
              </w:rPr>
              <w:t xml:space="preserve"> În cazul unui proiect care vizează înființarea/modernizarea unui punct de lucru într-o clădire existentă, lucrările de schimbare a ferestrelor existente cu ferestre termopan, care conduc la creșterea eficienței energetice, lucrări care nu necesită obținerea autorizației de construire, sunt considerate modificări/îmbunătățiri substanțiale?</w:t>
            </w:r>
          </w:p>
          <w:p>
            <w:pPr>
              <w:pStyle w:val="NormalWeb"/>
              <w:widowControl/>
              <w:spacing w:before="28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e)</w:t>
            </w:r>
            <w:r>
              <w:rPr>
                <w:rFonts w:ascii="Trebuchet MS" w:hAnsi="Trebuchet MS"/>
                <w:sz w:val="22"/>
                <w:szCs w:val="22"/>
                <w:lang w:val="en-US" w:eastAsia="en-US" w:bidi="ar-SA"/>
              </w:rPr>
              <w:t xml:space="preserve"> În cazul unui proiect care vizează modernizarea activității de cazare, în cadrul unei pensiuni turistice, clădirea în care se desfășoară activitatea nu dispune de balcoane la acest moment. Prin proiect se dorește realizarea de balcoane, fapt care va conduce la creșterea confortului pentru turiști, precum și la creșterea atractivității pensiunii. Este această investiție considerată modificare/îmbunătățire substanțială?</w:t>
            </w:r>
          </w:p>
          <w:p>
            <w:pPr>
              <w:pStyle w:val="NormalWeb"/>
              <w:widowControl/>
              <w:spacing w:before="28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f)</w:t>
            </w:r>
            <w:r>
              <w:rPr>
                <w:rFonts w:ascii="Trebuchet MS" w:hAnsi="Trebuchet MS"/>
                <w:sz w:val="22"/>
                <w:szCs w:val="22"/>
                <w:lang w:val="en-US" w:eastAsia="en-US" w:bidi="ar-SA"/>
              </w:rPr>
              <w:t xml:space="preserve"> În cazul unui proiect care vizează modernizarea unei hale, lucrări care nu necesită autorizație de construire, și se depune DALI, pentru dovada dreptului real de folosință este suficient contractul de închiriere sau este obligatoriu un contract de superficie?</w:t>
            </w:r>
          </w:p>
          <w:p>
            <w:pPr>
              <w:pStyle w:val="NormalWeb"/>
              <w:widowControl/>
              <w:spacing w:before="280" w:after="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g)</w:t>
            </w:r>
            <w:r>
              <w:rPr>
                <w:rFonts w:ascii="Trebuchet MS" w:hAnsi="Trebuchet MS"/>
                <w:sz w:val="22"/>
                <w:szCs w:val="22"/>
                <w:lang w:val="en-US" w:eastAsia="en-US" w:bidi="ar-SA"/>
              </w:rPr>
              <w:t xml:space="preserve"> În cadrul capitolului 8.4.1. „Mecanismul de selecție a proiectelor”, este descris mecanismul cu privire la evaluarea cererilor depuse în luna a treia și a patra de depunere, însă durata de depunere a proiectului este de doar 2 luni, respectiv 01.07.2025 – 01.09.2025. Vă rugăm să clarificați.</w:t>
            </w:r>
          </w:p>
        </w:tc>
        <w:tc>
          <w:tcPr>
            <w:tcW w:w="5113"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Referitor la solicitarea de clarificare a posibilității legale de desfășurare a activității în cadrul unui potențial proiect anterior depunerii cererii de finanțare cu decontarea cheltuielilor prin proiect, vă informăm că activitatea în cadrul unui proiect acceptat la finanțare se derulează și se decontează ulterior semnării contractului de finanțare. Numai atunci proiectul este eligibil.</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 xml:space="preserve">Singurele cheltuieli care se decontează sunt cheltuielile eligibile, în baza documentelor financiare justificative prevăzute de GS și în limita cofinanțării acordate: minimum </w:t>
            </w:r>
            <w:r>
              <w:rPr>
                <w:rStyle w:val="Strong"/>
                <w:rFonts w:eastAsia="" w:ascii="Trebuchet MS" w:hAnsi="Trebuchet MS" w:eastAsiaTheme="majorEastAsia"/>
                <w:sz w:val="22"/>
                <w:szCs w:val="22"/>
                <w:lang w:val="en-US" w:eastAsia="en-US" w:bidi="ar-SA"/>
              </w:rPr>
              <w:t>50.000 euro</w:t>
            </w:r>
            <w:r>
              <w:rPr>
                <w:rFonts w:ascii="Trebuchet MS" w:hAnsi="Trebuchet MS"/>
                <w:sz w:val="22"/>
                <w:szCs w:val="22"/>
                <w:lang w:val="en-US" w:eastAsia="en-US" w:bidi="ar-SA"/>
              </w:rPr>
              <w:t xml:space="preserve"> și maximum </w:t>
            </w:r>
            <w:r>
              <w:rPr>
                <w:rStyle w:val="Strong"/>
                <w:rFonts w:eastAsia="" w:ascii="Trebuchet MS" w:hAnsi="Trebuchet MS" w:eastAsiaTheme="majorEastAsia"/>
                <w:sz w:val="22"/>
                <w:szCs w:val="22"/>
                <w:lang w:val="en-US" w:eastAsia="en-US" w:bidi="ar-SA"/>
              </w:rPr>
              <w:t>300.000 euro</w:t>
            </w:r>
            <w:r>
              <w:rPr>
                <w:rFonts w:ascii="Trebuchet MS" w:hAnsi="Trebuchet MS"/>
                <w:sz w:val="22"/>
                <w:szCs w:val="22"/>
                <w:lang w:val="en-US" w:eastAsia="en-US" w:bidi="ar-SA"/>
              </w:rPr>
              <w:t>.</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 xml:space="preserve">Mecanismul de plată și rambursare a cheltuielilor în cadrul contractelor de finanțare se realizează în conformitate cu prevederile </w:t>
            </w:r>
            <w:r>
              <w:rPr>
                <w:rStyle w:val="Strong"/>
                <w:rFonts w:eastAsia="" w:ascii="Trebuchet MS" w:hAnsi="Trebuchet MS" w:eastAsiaTheme="majorEastAsia"/>
                <w:sz w:val="22"/>
                <w:szCs w:val="22"/>
                <w:lang w:val="en-US" w:eastAsia="en-US" w:bidi="ar-SA"/>
              </w:rPr>
              <w:t>OUG nr. 133/2021</w:t>
            </w:r>
            <w:r>
              <w:rPr>
                <w:rFonts w:ascii="Trebuchet MS" w:hAnsi="Trebuchet MS"/>
                <w:sz w:val="22"/>
                <w:szCs w:val="22"/>
                <w:lang w:val="en-US" w:eastAsia="en-US" w:bidi="ar-SA"/>
              </w:rPr>
              <w:t xml:space="preserve">, cu modificările și completările ulterioare, precum și ale normelor de aplicare aprobate prin </w:t>
            </w:r>
            <w:r>
              <w:rPr>
                <w:rStyle w:val="Strong"/>
                <w:rFonts w:eastAsia="" w:ascii="Trebuchet MS" w:hAnsi="Trebuchet MS" w:eastAsiaTheme="majorEastAsia"/>
                <w:sz w:val="22"/>
                <w:szCs w:val="22"/>
                <w:lang w:val="en-US" w:eastAsia="en-US" w:bidi="ar-SA"/>
              </w:rPr>
              <w:t>HG nr. 829/2022</w:t>
            </w:r>
            <w:r>
              <w:rPr>
                <w:rFonts w:ascii="Trebuchet MS" w:hAnsi="Trebuchet MS"/>
                <w:sz w:val="22"/>
                <w:szCs w:val="22"/>
                <w:lang w:val="en-US" w:eastAsia="en-US" w:bidi="ar-SA"/>
              </w:rPr>
              <w:t>, cu modificările și completările ulterioare.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Cheltuielile sunt considerate ca fiind efectuate atunci când costul a fost facturat, plătit și obiectul acestora a fost livrat (în cazul bunurilor) sau executat (în cazul serviciilor și lucrărilor).</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Costurile indirecte se decontează prin aplicarea ratei forfetare la valoarea cheltuielilor directe autorizate. Pentru decontarea costurilor indirecte nu este necesară prezentarea documentelor justificative. Solicitantul nu trebuie să detalieze costurile indirecte în cererea de finanțare. Cheltuielile declarate neeligibile nu se decontează.</w:t>
            </w:r>
          </w:p>
          <w:p>
            <w:pPr>
              <w:pStyle w:val="NormalWeb"/>
              <w:widowControl/>
              <w:spacing w:before="28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Referitor la solicitarea de clarificare a posibilității de decontare a următoarelor cheltuieli:</w:t>
            </w:r>
          </w:p>
          <w:p>
            <w:pPr>
              <w:pStyle w:val="NormalWeb"/>
              <w:widowControl/>
              <w:numPr>
                <w:ilvl w:val="0"/>
                <w:numId w:val="9"/>
              </w:numPr>
              <w:spacing w:before="28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Într-o clădire existentă, în care urmează să se desfășoare activitate medicală – executarea de compartimentări interioare</w:t>
            </w:r>
            <w:r>
              <w:rPr>
                <w:rFonts w:ascii="Trebuchet MS" w:hAnsi="Trebuchet MS"/>
                <w:sz w:val="22"/>
                <w:szCs w:val="22"/>
                <w:lang w:val="en-US" w:eastAsia="en-US" w:bidi="ar-SA"/>
              </w:rPr>
              <w:t xml:space="preserve"> care nu necesită obținerea autorizației de construire: aceste cheltuieli se decontează în baza </w:t>
            </w:r>
            <w:r>
              <w:rPr>
                <w:rStyle w:val="Strong"/>
                <w:rFonts w:eastAsia="" w:ascii="Trebuchet MS" w:hAnsi="Trebuchet MS" w:eastAsiaTheme="majorEastAsia"/>
                <w:sz w:val="22"/>
                <w:szCs w:val="22"/>
                <w:lang w:val="en-US" w:eastAsia="en-US" w:bidi="ar-SA"/>
              </w:rPr>
              <w:t>HG nr. 907/2016</w:t>
            </w:r>
            <w:r>
              <w:rPr>
                <w:rFonts w:ascii="Trebuchet MS" w:hAnsi="Trebuchet MS"/>
                <w:sz w:val="22"/>
                <w:szCs w:val="22"/>
                <w:lang w:val="en-US" w:eastAsia="en-US" w:bidi="ar-SA"/>
              </w:rPr>
              <w:t xml:space="preserve"> și a </w:t>
            </w:r>
            <w:r>
              <w:rPr>
                <w:rStyle w:val="Strong"/>
                <w:rFonts w:eastAsia="" w:ascii="Trebuchet MS" w:hAnsi="Trebuchet MS" w:eastAsiaTheme="majorEastAsia"/>
                <w:sz w:val="22"/>
                <w:szCs w:val="22"/>
                <w:lang w:val="en-US" w:eastAsia="en-US" w:bidi="ar-SA"/>
              </w:rPr>
              <w:t>Legii nr. 10/1995 (republicată)</w:t>
            </w:r>
            <w:r>
              <w:rPr>
                <w:rFonts w:ascii="Trebuchet MS" w:hAnsi="Trebuchet MS"/>
                <w:sz w:val="22"/>
                <w:szCs w:val="22"/>
                <w:lang w:val="en-US" w:eastAsia="en-US" w:bidi="ar-SA"/>
              </w:rPr>
              <w:t xml:space="preserve"> privind calitatea în construcții. În cazul dvs. nu se aplică servicii de proiectare în sistemul „design &amp; build”, ci modernizarea spațiului prin lucrări de intervenții la construcții existente.</w:t>
            </w:r>
          </w:p>
          <w:p>
            <w:pPr>
              <w:pStyle w:val="NormalWeb"/>
              <w:widowControl/>
              <w:spacing w:before="280" w:after="280"/>
              <w:ind w:left="720"/>
              <w:jc w:val="both"/>
              <w:rPr>
                <w:rFonts w:ascii="Trebuchet MS" w:hAnsi="Trebuchet MS"/>
                <w:sz w:val="22"/>
                <w:szCs w:val="22"/>
              </w:rPr>
            </w:pPr>
            <w:r>
              <w:rPr>
                <w:rFonts w:ascii="Trebuchet MS" w:hAnsi="Trebuchet MS"/>
                <w:sz w:val="22"/>
                <w:szCs w:val="22"/>
                <w:lang w:val="en-US" w:eastAsia="en-US" w:bidi="ar-SA"/>
              </w:rPr>
              <w:t>Art. 18 din Legea nr. 10/1995 prevede:</w:t>
              <w:br/>
              <w:t>„(2) Intervențiile la construcțiile existente se referă la lucrări de construire, reconstruire, desființare parțială, consolidare, reparație, modernizare, modificare, extindere, reabilitare, reabilitare termică, creștere a performanței energetice, renovare, renovare majoră sau complexă, după caz, schimbare de destinație, protejare, restaurare, conservare, desființare totală. Acestea se efectuează în baza unei expertize tehnice întocmite de un expert tehnic atestat și, după caz, în baza unui audit energetic întocmit de un auditor energetic pentru clădiri atestat, și cuprind proiectarea, execuția și recepția lucrărilor care necesită emiterea, în condițiile legii, a autorizației de construire sau de desființare.”</w:t>
            </w:r>
          </w:p>
          <w:p>
            <w:pPr>
              <w:pStyle w:val="NormalWeb"/>
              <w:widowControl/>
              <w:numPr>
                <w:ilvl w:val="0"/>
                <w:numId w:val="9"/>
              </w:numPr>
              <w:spacing w:before="280" w:after="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Într-o clădire existentă – lucrări de schimbare a ferestrelor existente cu ferestre termopan</w:t>
            </w:r>
            <w:r>
              <w:rPr>
                <w:rFonts w:ascii="Trebuchet MS" w:hAnsi="Trebuchet MS"/>
                <w:sz w:val="22"/>
                <w:szCs w:val="22"/>
                <w:lang w:val="en-US" w:eastAsia="en-US" w:bidi="ar-SA"/>
              </w:rPr>
              <w:t xml:space="preserve"> pentru creșterea eficienței energetice, care nu necesită obținerea autorizației de construire: aceste cheltuieli se pot deconta în baza art. 18 (2) din Legea nr. 10/1995, pe baza unei expertize tehnice întocmite de un expert tehnic atestat.</w:t>
            </w:r>
          </w:p>
          <w:p>
            <w:pPr>
              <w:pStyle w:val="NormalWeb"/>
              <w:widowControl/>
              <w:numPr>
                <w:ilvl w:val="0"/>
                <w:numId w:val="9"/>
              </w:numPr>
              <w:spacing w:before="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Într-o pensiune turistică ce nu dispune de balcoane – construcția balcoanelor</w:t>
            </w:r>
            <w:r>
              <w:rPr>
                <w:rFonts w:ascii="Trebuchet MS" w:hAnsi="Trebuchet MS"/>
                <w:sz w:val="22"/>
                <w:szCs w:val="22"/>
                <w:lang w:val="en-US" w:eastAsia="en-US" w:bidi="ar-SA"/>
              </w:rPr>
              <w:t xml:space="preserve"> pentru creșterea confortului pentru turiști și atractivității pensiunii: aceste cheltuieli se decontează în baza </w:t>
            </w:r>
            <w:r>
              <w:rPr>
                <w:rStyle w:val="Strong"/>
                <w:rFonts w:eastAsia="" w:ascii="Trebuchet MS" w:hAnsi="Trebuchet MS" w:eastAsiaTheme="majorEastAsia"/>
                <w:sz w:val="22"/>
                <w:szCs w:val="22"/>
                <w:lang w:val="en-US" w:eastAsia="en-US" w:bidi="ar-SA"/>
              </w:rPr>
              <w:t>HG nr. 907/2016</w:t>
            </w:r>
            <w:r>
              <w:rPr>
                <w:rFonts w:ascii="Trebuchet MS" w:hAnsi="Trebuchet MS"/>
                <w:sz w:val="22"/>
                <w:szCs w:val="22"/>
                <w:lang w:val="en-US" w:eastAsia="en-US" w:bidi="ar-SA"/>
              </w:rPr>
              <w:t>, Formularul 2 „Elemente de arhitectură”.</w:t>
            </w:r>
          </w:p>
          <w:p>
            <w:pPr>
              <w:pStyle w:val="NormalWeb"/>
              <w:widowControl/>
              <w:spacing w:before="28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Referitor la solicitarea de clarificare a tipului de contract de închiriere/superficie</w:t>
            </w:r>
            <w:r>
              <w:rPr>
                <w:rFonts w:ascii="Trebuchet MS" w:hAnsi="Trebuchet MS"/>
                <w:sz w:val="22"/>
                <w:szCs w:val="22"/>
                <w:lang w:val="en-US" w:eastAsia="en-US" w:bidi="ar-SA"/>
              </w:rPr>
              <w:t xml:space="preserve"> necesar pentru dovada dreptului real de folosință într-un proiect care vizează modernizarea unei hale: potrivit Anexei 10 la GS,</w:t>
              <w:br/>
              <w:t>„În situația în care, în etapa de contractare, beneficiarul nu demonstrează că este titularul dreptului real principal, cererea de finanțare este respinsă. La depunerea cererii de finanțare solicitantul va declara, odată cu întocmirea declarației unice, că deține sau urmează să dețină (până la semnarea contractului de finanțare) un drept real sau un drept de folosință care rezultă din contracte de închiriere sau de comodat asupra bunurilor imobile care fac obiectul cererii de finanțare și/sau asupra bunurilor imobile care constituie locația/locațiile de implementare a proiectului. Imobilul (teren și/sau clădiri) nu trebuie să facă obiectul unor litigii sau revendicări potrivit unor legi speciale sau dreptului comun.”</w:t>
            </w:r>
          </w:p>
          <w:p>
            <w:pPr>
              <w:pStyle w:val="NormalWeb"/>
              <w:widowControl/>
              <w:spacing w:before="280" w:after="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Referitor la solicitarea de clarificare a informațiilor din GS privind neconcordanța dintre perioada acordată pentru depunerea proiectelor (2 luni) și perioada acordată pentru selecție (4 luni):</w:t>
            </w:r>
            <w:r>
              <w:rPr>
                <w:rFonts w:ascii="Trebuchet MS" w:hAnsi="Trebuchet MS"/>
                <w:sz w:val="22"/>
                <w:szCs w:val="22"/>
                <w:lang w:val="en-US" w:eastAsia="en-US" w:bidi="ar-SA"/>
              </w:rPr>
              <w:br/>
              <w:t xml:space="preserve">Etapa de selecție a proiectelor și mecanismul aferent urmează depunerii proiectelor și presupune evaluarea acestora în sistemul informatic </w:t>
            </w:r>
            <w:r>
              <w:rPr>
                <w:rStyle w:val="Strong"/>
                <w:rFonts w:eastAsia="" w:ascii="Trebuchet MS" w:hAnsi="Trebuchet MS" w:eastAsiaTheme="majorEastAsia"/>
                <w:sz w:val="22"/>
                <w:szCs w:val="22"/>
                <w:lang w:val="en-US" w:eastAsia="en-US" w:bidi="ar-SA"/>
              </w:rPr>
              <w:t>MySMIS 2021/SMIS 2021+</w:t>
            </w:r>
            <w:r>
              <w:rPr>
                <w:rFonts w:ascii="Trebuchet MS" w:hAnsi="Trebuchet MS"/>
                <w:sz w:val="22"/>
                <w:szCs w:val="22"/>
                <w:lang w:val="en-US" w:eastAsia="en-US" w:bidi="ar-SA"/>
              </w:rPr>
              <w:t xml:space="preserve">, în perioada </w:t>
            </w:r>
            <w:r>
              <w:rPr>
                <w:rStyle w:val="Strong"/>
                <w:rFonts w:eastAsia="" w:ascii="Trebuchet MS" w:hAnsi="Trebuchet MS" w:eastAsiaTheme="majorEastAsia"/>
                <w:sz w:val="22"/>
                <w:szCs w:val="22"/>
                <w:lang w:val="en-US" w:eastAsia="en-US" w:bidi="ar-SA"/>
              </w:rPr>
              <w:t>01.07.2025 – 01.09.2025</w:t>
            </w:r>
            <w:r>
              <w:rPr>
                <w:rFonts w:ascii="Trebuchet MS" w:hAnsi="Trebuchet MS"/>
                <w:sz w:val="22"/>
                <w:szCs w:val="22"/>
                <w:lang w:val="en-US" w:eastAsia="en-US" w:bidi="ar-SA"/>
              </w:rPr>
              <w:t>, în vederea selectării pentru finanțare.</w:t>
            </w:r>
          </w:p>
        </w:tc>
      </w:tr>
      <w:tr>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30</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52908/08.05.2025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en-US" w:eastAsia="en-US" w:bidi="ar-SA"/>
              </w:rPr>
              <w:t>În documentația aferentă nu am regăsit o listă cu domeniile de activitate (coduri CAEN) eligibile sau neeligibile. Unde aș putea găsi o astfel de listă a codurilor CAEN (domeniilor de activitate) eligibile sau neeligibile?</w:t>
            </w:r>
          </w:p>
        </w:tc>
        <w:tc>
          <w:tcPr>
            <w:tcW w:w="5113"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en-US" w:eastAsia="en-US" w:bidi="ar-SA"/>
              </w:rPr>
              <w:t xml:space="preserve">Referitor la solicitarea de accesare a unei liste care să conțină codurile CAEN eligibile sau neeligibile, vă informăm că pentru a fi eligibil un proiect nu trebuie să vizeze domeniile de activitate excluse și clasele CAEN neeligibile menționate în Anexa nr. 2 la Schema de ajutor de stat și de minimis </w:t>
            </w:r>
            <w:hyperlink r:id="rId10" w:tgtFrame="_new">
              <w:r>
                <w:rPr>
                  <w:rStyle w:val="Hyperlink"/>
                  <w:rFonts w:eastAsia="Aptos" w:cs="" w:ascii="Trebuchet MS" w:hAnsi="Trebuchet MS"/>
                  <w:kern w:val="2"/>
                  <w:sz w:val="22"/>
                  <w:szCs w:val="22"/>
                  <w:lang w:val="en-US" w:eastAsia="en-US" w:bidi="ar-SA"/>
                </w:rPr>
                <w:t>https://mfe.gov.ro/ghidul-solicitantului-pentru-actiunea-dezvoltarea-intreprinderilor-si-a-antreprenoriatului-componenta-investitii-pentru-dezvoltarea-imm-care-sprijina-cresterea-dur-2/</w:t>
              </w:r>
            </w:hyperlink>
            <w:r>
              <w:rPr>
                <w:rFonts w:eastAsia="Aptos" w:cs="" w:ascii="Trebuchet MS" w:hAnsi="Trebuchet MS"/>
                <w:kern w:val="2"/>
                <w:sz w:val="22"/>
                <w:szCs w:val="22"/>
                <w:lang w:val="en-US" w:eastAsia="en-US" w:bidi="ar-SA"/>
              </w:rPr>
              <w:t xml:space="preserve">, pe care o găsiți atașată la următorul link </w:t>
            </w:r>
            <w:hyperlink r:id="rId11" w:tgtFrame="_new">
              <w:r>
                <w:rPr>
                  <w:rStyle w:val="Hyperlink"/>
                  <w:rFonts w:eastAsia="Aptos" w:cs="" w:ascii="Trebuchet MS" w:hAnsi="Trebuchet MS"/>
                  <w:kern w:val="2"/>
                  <w:sz w:val="22"/>
                  <w:szCs w:val="22"/>
                  <w:lang w:val="en-US" w:eastAsia="en-US" w:bidi="ar-SA"/>
                </w:rPr>
                <w:t>https://mfe.gov.ro/consultare-publica-ptj-ghidului-solicitantului-pentru-actiunea-dezvoltarea-intreprinderilor-si-a-antreprenoriatului-componenta-sprijin-pentru-cresterea-durabila/</w:t>
              </w:r>
            </w:hyperlink>
          </w:p>
        </w:tc>
      </w:tr>
      <w:tr>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31</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54324/13.05.2025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en-US" w:eastAsia="en-US" w:bidi="ar-SA"/>
              </w:rPr>
              <w:t>Pentru o activitate sportivă, conform cod CAEN 9311 – Activități ale bazelor sportive sau cod CAEN 9312 – Activități ale cluburilor sportive, considerați cheltuială eligibilă achiziția de biciclete necesare desfășurării de activități sportive în aer liber, într-un spațiu delimitat?</w:t>
            </w:r>
          </w:p>
        </w:tc>
        <w:tc>
          <w:tcPr>
            <w:tcW w:w="5113"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en-US" w:eastAsia="en-US" w:bidi="ar-SA"/>
              </w:rPr>
              <w:t>Referitor la solicitarea de clarificare a eligibilității cheltuielilor care presupun achiziția de biciclete pentru desfășurarea de activități sportive în aer liber, în cadrul unui proiect având codurile CAEN 9311 – Activități ale bazelor sportive / CAEN 9312 – Activități ale cluburilor sportive, vă informăm că achiziția de biciclete reprezintă cheltuieli care reflectă activitățile proiectului și, prin urmare, sunt eligibile în scopul îndeplinirii activităților specifice și cu încadrare în plafonul acordat prin contractul de finanțare.</w:t>
            </w:r>
          </w:p>
        </w:tc>
      </w:tr>
      <w:tr>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32</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54777/13.05.2025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Este eligibilă pentru a aplica în cadrul apelului o firmă care a fost achiziționată după data publicării în consultare a ghidului;</w:t>
              <w:br/>
              <w:t>între actualii acționari/administratori și foștii acționari/administratori, și nici între firmele pe care aceștia le mai pot deține, nu există niciun fel de legătură economică, juridică sau de altă natură?</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Este o astfel de achiziție considerată o „modificare conjuncturală” de natură să afecteze eligibilitatea solicitantului?</w:t>
            </w:r>
          </w:p>
        </w:tc>
        <w:tc>
          <w:tcPr>
            <w:tcW w:w="5113"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Referitor la solicitarea de clarificare a eligibilității unei firme achiziționate după data publicării GS, vă informăm că, potrivit Anexei 10 la Ghid, la depunerea cererii de finanțare solicitantul va declara, odată cu întocmirea declarației unice, că deține sau urmează să dețină (până la semnarea contractului de finanțare) un drept real sau un drept de folosință care rezultă din contracte de închiriere sau de comodat asupra bunurilor imobile care fac obiectul cererii de finanțare și/sau asupra bunurilor imobile care constituie locația/locațiile de implementare a proiectului. Respectiva firmă poate funcționa cu un număr de 1 până la 10 angajați.</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Referitor la solicitarea de clarificare a unei posibile „modificări conjuncturale” de natură să afecteze eligibilitatea solicitantului, în cazul în care între actualii și foștii proprietari, respectiv între firmele pe care aceștia le mai dețin, nu există legături de parteneriat, vă informăm că, potrivit aceleiași Anexe 10 la Ghid, la depunerea cererii de finanțare solicitantul va declara, odată cu întocmirea declarației unice, că deține sau urmează să dețină (până la semnarea contractului de finanțare) un drept real sau un drept de folosință care rezultă din contracte de închiriere sau de comodat asupra bunurilor imobile care fac obiectul cererii de finanțare și/sau asupra bunurilor imobile care constituie locația/locațiile de implementare a proiectului. Imobilul (teren și/sau clădiri) nu trebuie să facă obiectul unor litigii sau obiectul revendicărilor potrivit unor legi speciale în materie sau dreptului comun.</w:t>
            </w:r>
          </w:p>
        </w:tc>
      </w:tr>
      <w:tr>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33</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56679/16.05.2025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Dorim să depunem o cerere de finanțare pentru un proiect de investiții, care constă în achiziția de echipamente de construcții, pompe de căldură și panouri fotovoltaice în cadrul codului CAEN REV 3 – 4100 - Lucrări de construcții ale clădirilor rezidențiale și nerezidențiale, activitate ce se prestează la terți.</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Locația de implementare va fi punctul de lucru al societății – format din teren + hală, aflate în folosința firmei în baza unui contract de comodat. Imobilul este reprezentat de clădirea C2, hală metalică, situată în jud. Galați, loc. Costi, com. Vânători, Tarla 64, parcele 32-33-34, cu număr cadastral 100878-C2.</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Întrucât hala este reprezentată de o construcție modulară, aceasta figurează intabulată la OCPI, cu mențiunea «fără acte».</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Vă rugăm să ne comunicați dacă proiectul de investiții implementat în locația descrisă mai sus este eligibil.</w:t>
            </w:r>
          </w:p>
        </w:tc>
        <w:tc>
          <w:tcPr>
            <w:tcW w:w="5113"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Referitor la solicitarea de clarificare a eligibilității locației de implementare a proiectului, teren + hală construcție modulară fără acte, aflate în folosință în baza unui contract de comodat, vă informăm că în conformitate cu Anexa 10 la Ghidul Solicitantului:</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w:t>
            </w:r>
            <w:r>
              <w:rPr>
                <w:rFonts w:ascii="Trebuchet MS" w:hAnsi="Trebuchet MS"/>
                <w:sz w:val="22"/>
                <w:szCs w:val="22"/>
                <w:lang w:val="en-US" w:eastAsia="en-US" w:bidi="ar-SA"/>
              </w:rPr>
              <w:t>La depunerea cererii de finanțare solicitantul va declara, odată cu întocmirea declarației unice, că deține sau urmează să dețină (până la semnarea contractului de finanțare) un drept real sau un drept de folosință care rezultă din contracte de închiriere sau de comodat asupra bunurilor imobile care fac obiectul cererii de finanţare și/sau asupra bunurilor imobile care constituie locația/locațiile de implementare a proiectului. Imobilul (teren și/sau clădiri) nu trebuie să facă obiectul unor litigii sau obiectul revendicărilor potrivit unor legi speciale în materie sau dreptului comun.”</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Conform legii aplicabile în materie de construcții – Legea nr. 50/1991 privind autorizarea executării lucrărilor de construcții, art. 11:</w:t>
              <w:br/>
              <w:t>„Se pot executa fără autorizație de construire modificări de compartimentare nestructurală, demontabilă, realizată din materiale ușoare.”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Hala este modulară, dar constituie o construcție, nu o compartimentare. Mai mult decât atât, pentru implementarea potențialului proiect veți avea nevoie de racorduri și/sau branșamente la utilități.</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 xml:space="preserve">Prin urmare, locația de implementare devine eligibilă </w:t>
            </w:r>
            <w:r>
              <w:rPr>
                <w:rStyle w:val="Strong"/>
                <w:rFonts w:eastAsia="" w:ascii="Trebuchet MS" w:hAnsi="Trebuchet MS" w:eastAsiaTheme="majorEastAsia"/>
                <w:sz w:val="22"/>
                <w:szCs w:val="22"/>
                <w:lang w:val="en-US" w:eastAsia="en-US" w:bidi="ar-SA"/>
              </w:rPr>
              <w:t>după ce autorizați construcția</w:t>
            </w:r>
            <w:r>
              <w:rPr>
                <w:rFonts w:ascii="Trebuchet MS" w:hAnsi="Trebuchet MS"/>
                <w:sz w:val="22"/>
                <w:szCs w:val="22"/>
                <w:lang w:val="en-US" w:eastAsia="en-US" w:bidi="ar-SA"/>
              </w:rPr>
              <w:t>.</w:t>
            </w:r>
          </w:p>
        </w:tc>
      </w:tr>
      <w:tr>
        <w:trPr/>
        <w:tc>
          <w:tcPr>
            <w:tcW w:w="13405" w:type="dxa"/>
            <w:gridSpan w:val="5"/>
            <w:tcBorders/>
            <w:shd w:color="auto" w:fill="D9D9D9" w:themeFill="background1" w:themeFillShade="d9" w:val="clear"/>
          </w:tcPr>
          <w:p>
            <w:pPr>
              <w:pStyle w:val="Normal"/>
              <w:widowControl/>
              <w:spacing w:lineRule="auto" w:line="240" w:before="0" w:after="0"/>
              <w:jc w:val="both"/>
              <w:rPr>
                <w:rFonts w:ascii="Trebuchet MS" w:hAnsi="Trebuchet MS"/>
                <w:b/>
                <w:bCs/>
                <w:sz w:val="22"/>
                <w:szCs w:val="22"/>
                <w:lang w:val="ro-RO"/>
              </w:rPr>
            </w:pPr>
            <w:r>
              <w:rPr>
                <w:rFonts w:eastAsia="Aptos" w:cs="" w:ascii="Trebuchet MS" w:hAnsi="Trebuchet MS"/>
                <w:b/>
                <w:bCs/>
                <w:kern w:val="2"/>
                <w:sz w:val="22"/>
                <w:szCs w:val="22"/>
                <w:lang w:val="ro-RO" w:eastAsia="en-US" w:bidi="ar-SA"/>
              </w:rPr>
              <w:t>OI PTJ SUD EST</w:t>
            </w:r>
          </w:p>
        </w:tc>
      </w:tr>
      <w:tr>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34</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2771/24.04.2025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Referitor la linia de finanțare pentru microîntreprinderi prin Programul Tranziție Justă, dorim să ne clarificați următoarele aspecte:</w:t>
            </w:r>
          </w:p>
          <w:p>
            <w:pPr>
              <w:pStyle w:val="NormalWeb"/>
              <w:widowControl/>
              <w:spacing w:before="28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1.Societățile care au înregistrat un număr mediu de 0 (zero) angajați la 2024 sunt eligibile?</w:t>
            </w:r>
            <w:r>
              <w:rPr>
                <w:rFonts w:ascii="Trebuchet MS" w:hAnsi="Trebuchet MS"/>
                <w:sz w:val="22"/>
                <w:szCs w:val="22"/>
                <w:lang w:val="en-US" w:eastAsia="en-US" w:bidi="ar-SA"/>
              </w:rPr>
              <w:br/>
              <w:t>Din exprimarea din ghid nu rezultă clar acest lucru.</w:t>
              <w:br/>
              <w:t>Ne încurcă în înțelegere formularea: „Solicitantul a înregistrat un număr mediu de salariați începând de la 0 angajați, fără a lua în calcul funcția de administrator sau asociat, în anul fiscal anterior deschiderii apelului de proiecte”.</w:t>
              <w:br/>
              <w:t>Noi înțelegem că orice societate poate aplica începând de la 0 angajați. Însă nu vedem sensul exprimării, câtă vreme orice societate are cel puțin zero. De asemenea, ne încurcă formularea referitoare la angajați sau asociați. O exprimare clară în acest sens ne-ar ajuta.</w:t>
            </w:r>
          </w:p>
          <w:p>
            <w:pPr>
              <w:pStyle w:val="NormalWeb"/>
              <w:widowControl/>
              <w:spacing w:before="28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2.Societățile care au în prezent sedii/puncte de lucru în alte județe decât cel vizat (Galați) pot depune proiecte</w:t>
            </w:r>
            <w:r>
              <w:rPr>
                <w:rFonts w:ascii="Trebuchet MS" w:hAnsi="Trebuchet MS"/>
                <w:sz w:val="22"/>
                <w:szCs w:val="22"/>
                <w:lang w:val="en-US" w:eastAsia="en-US" w:bidi="ar-SA"/>
              </w:rPr>
              <w:t xml:space="preserve"> în cazul în care proiectul vizează o investiție în infrastructură?</w:t>
              <w:br/>
              <w:t>Adică avem o societate din alt județ care dorește să construiască o pensiune în județul Galați. Punctul de lucru va fi deschis conform cerințelor din ghid, până la finalul implementării.</w:t>
            </w:r>
          </w:p>
          <w:p>
            <w:pPr>
              <w:pStyle w:val="NormalWeb"/>
              <w:widowControl/>
              <w:spacing w:before="28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3.Schimbarea asociaților înainte de depunerea proiectului</w:t>
            </w:r>
            <w:r>
              <w:rPr>
                <w:rFonts w:ascii="Trebuchet MS" w:hAnsi="Trebuchet MS"/>
                <w:sz w:val="22"/>
                <w:szCs w:val="22"/>
                <w:lang w:val="en-US" w:eastAsia="en-US" w:bidi="ar-SA"/>
              </w:rPr>
              <w:t xml:space="preserve"> este văzută ca o condiție artificială?</w:t>
              <w:br/>
              <w:t>Menționăm că intențiile sunt clare de a păstra noua structură pe toată perioada proiectului.</w:t>
            </w:r>
          </w:p>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r>
          </w:p>
        </w:tc>
        <w:tc>
          <w:tcPr>
            <w:tcW w:w="5113"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 xml:space="preserve">Având în vedere solicitarea dumneavoastră transmisă pe mail în data de 24.04.2025, înregistrată la ADRSE cu nr. 2771/24.04.2025, cu privire la apelul de proiecte </w:t>
            </w:r>
            <w:r>
              <w:rPr>
                <w:rStyle w:val="Emphasis"/>
                <w:rFonts w:eastAsia="" w:ascii="Trebuchet MS" w:hAnsi="Trebuchet MS" w:eastAsiaTheme="majorEastAsia"/>
                <w:sz w:val="22"/>
                <w:szCs w:val="22"/>
                <w:lang w:val="en-US" w:eastAsia="en-US" w:bidi="ar-SA"/>
              </w:rPr>
              <w:t>Sprijin pentru dezvoltarea microîntreprinderilor</w:t>
            </w:r>
            <w:r>
              <w:rPr>
                <w:rFonts w:ascii="Trebuchet MS" w:hAnsi="Trebuchet MS"/>
                <w:sz w:val="22"/>
                <w:szCs w:val="22"/>
                <w:lang w:val="en-US" w:eastAsia="en-US" w:bidi="ar-SA"/>
              </w:rPr>
              <w:t xml:space="preserve">, din cadrul </w:t>
            </w:r>
            <w:r>
              <w:rPr>
                <w:rStyle w:val="Emphasis"/>
                <w:rFonts w:eastAsia="" w:ascii="Trebuchet MS" w:hAnsi="Trebuchet MS" w:eastAsiaTheme="majorEastAsia"/>
                <w:sz w:val="22"/>
                <w:szCs w:val="22"/>
                <w:lang w:val="en-US" w:eastAsia="en-US" w:bidi="ar-SA"/>
              </w:rPr>
              <w:t>Programului Tranziție Justă 2021-2027</w:t>
            </w:r>
            <w:r>
              <w:rPr>
                <w:rFonts w:ascii="Trebuchet MS" w:hAnsi="Trebuchet MS"/>
                <w:sz w:val="22"/>
                <w:szCs w:val="22"/>
                <w:lang w:val="en-US" w:eastAsia="en-US" w:bidi="ar-SA"/>
              </w:rPr>
              <w:t>, vă comunicăm următoarele: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 xml:space="preserve">1.În conformitate cu prevederile Ghidului Solicitantului, secțiunea 5.1.2 </w:t>
            </w:r>
            <w:r>
              <w:rPr>
                <w:rStyle w:val="Emphasis"/>
                <w:rFonts w:eastAsia="" w:ascii="Trebuchet MS" w:hAnsi="Trebuchet MS" w:eastAsiaTheme="majorEastAsia"/>
                <w:sz w:val="22"/>
                <w:szCs w:val="22"/>
                <w:lang w:val="en-US" w:eastAsia="en-US" w:bidi="ar-SA"/>
              </w:rPr>
              <w:t>Categorii de solicitanți eligibili</w:t>
            </w:r>
            <w:r>
              <w:rPr>
                <w:rFonts w:ascii="Trebuchet MS" w:hAnsi="Trebuchet MS"/>
                <w:sz w:val="22"/>
                <w:szCs w:val="22"/>
                <w:lang w:val="en-US" w:eastAsia="en-US" w:bidi="ar-SA"/>
              </w:rPr>
              <w:t>, unul dintre criteriile de eligibilitate este următorul:</w:t>
              <w:br/>
              <w:t>„Solicitantul a înregistrat un număr mediu de salariați începând de la 0 angajați, fără a lua în calcul funcția de administrator sau asociat, în anul fiscal anterior deschiderii apelului de proiecte”.</w:t>
            </w:r>
          </w:p>
          <w:p>
            <w:pPr>
              <w:pStyle w:val="NormalWeb"/>
              <w:widowControl/>
              <w:spacing w:before="280" w:after="280"/>
              <w:ind w:left="720"/>
              <w:jc w:val="both"/>
              <w:rPr>
                <w:rFonts w:ascii="Trebuchet MS" w:hAnsi="Trebuchet MS"/>
                <w:sz w:val="22"/>
                <w:szCs w:val="22"/>
              </w:rPr>
            </w:pPr>
            <w:r>
              <w:rPr>
                <w:rFonts w:ascii="Trebuchet MS" w:hAnsi="Trebuchet MS"/>
                <w:sz w:val="22"/>
                <w:szCs w:val="22"/>
                <w:lang w:val="en-US" w:eastAsia="en-US" w:bidi="ar-SA"/>
              </w:rPr>
              <w:t>Înțelegerea noastră, ca și a dumneavoastră, este că sunt eligibili solicitanții care au înregistrat un număr mediu de angajați începând de la 0 (zero), adică inclusiv 0 angajați.</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2.Conform secțiunii 5.2, pct. 3) din Ghid: „Locul de implementare trebuie identificat în cadrul cererii de finanțare, descris în cadrul planului de afaceri (Anexa 5) și trebuie să fie adecvat proiectului.</w:t>
              <w:br/>
              <w:t>În situația unei cereri de finanțare care presupune înființarea unui sediu secundar ca urmare a realizării proiectului, solicitantul se va angaja (prin Declarația unică) ca, până la prima plată a ajutorului, dar nu mai târziu de finalizarea implementării proiectului, să înregistreze locul de implementare ca sediu principal/secundar în zona vizată de apel. Dacă solicitantul are deja sediul/punctul de lucru înregistrat și autorizat în zona vizată de apel, dar la acea locație nu a desfășurat activitate economică, sunt eligibile doar proiectele de investiții care nu presupun doar achiziția de echipamente sau dotări. Astfel, dacă la sediu/punctul de lucru nu s-a desfășurat activitate economică, acesta va fi tratat ca un punct de lucru nou, caz în care proiectul promovat trebuie să vizeze investiții în infrastructură.”</w:t>
            </w:r>
          </w:p>
          <w:p>
            <w:pPr>
              <w:pStyle w:val="NormalWeb"/>
              <w:widowControl/>
              <w:spacing w:before="280" w:after="280"/>
              <w:ind w:left="720"/>
              <w:jc w:val="both"/>
              <w:rPr>
                <w:rFonts w:ascii="Trebuchet MS" w:hAnsi="Trebuchet MS"/>
                <w:sz w:val="22"/>
                <w:szCs w:val="22"/>
              </w:rPr>
            </w:pPr>
            <w:r>
              <w:rPr>
                <w:rFonts w:ascii="Trebuchet MS" w:hAnsi="Trebuchet MS"/>
                <w:sz w:val="22"/>
                <w:szCs w:val="22"/>
                <w:lang w:val="en-US" w:eastAsia="en-US" w:bidi="ar-SA"/>
              </w:rPr>
              <w:t xml:space="preserve">Astfel, un solicitant care are în prezent sediul social și/sau puncte de lucru în afara zonei vizate de apel poate depune proiect în cadrul acestui apel, cu condiția ca până la prima plată a ajutorului, dar nu mai târziu de finalizarea implementării proiectului, să înregistreze locul de implementare ca sediu principal/secundar în zona vizată de apel și cu mențiunea că va obține 0 puncte la criteriul A2 din Anexa 9a) </w:t>
            </w:r>
            <w:r>
              <w:rPr>
                <w:rStyle w:val="Emphasis"/>
                <w:rFonts w:eastAsia="" w:ascii="Trebuchet MS" w:hAnsi="Trebuchet MS" w:eastAsiaTheme="majorEastAsia"/>
                <w:sz w:val="22"/>
                <w:szCs w:val="22"/>
                <w:lang w:val="en-US" w:eastAsia="en-US" w:bidi="ar-SA"/>
              </w:rPr>
              <w:t>Grila de evaluare tehnico-financiară</w:t>
            </w:r>
            <w:r>
              <w:rPr>
                <w:rFonts w:ascii="Trebuchet MS" w:hAnsi="Trebuchet MS"/>
                <w:sz w:val="22"/>
                <w:szCs w:val="22"/>
                <w:lang w:val="en-US" w:eastAsia="en-US" w:bidi="ar-SA"/>
              </w:rPr>
              <w:t>.</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3.Încadrarea solicitantului în categoria de microîntreprindere se verifică în conformitate cu prevederile Ghidului Solicitantului, secțiunea 5.1.2, pct. 2) și ale Anexei 4b).</w:t>
              <w:br/>
              <w:t>Verificarea încadrării în categoria microîntreprinderilor se va efectua „prin raportare la două exerciții financiare consecutive anterior anului în care a fost depusă cererea de finanțare. O modificare de acționariat înainte de depunerea cererii de finanțare poate crea premisele unei suspiciuni rezonabile privind crearea unor condiții artificiale în vederea obținerii finanțării în cadrul apelului de proiecte.”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Precizăm că răspunsul nostru se bazează pe analiza elementelor minimale prezentate de dumneavoastră. În condițiile verificării unei documentații complete, pe baza criteriilor de evaluare și selecție, observațiile pot să difere.</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 xml:space="preserve">Vă rugăm să consultați periodic pagina de website a Ministerului Investițiilor și Proiectelor Europene pentru informații actualizate privind apelurile de proiecte PTJ, inclusiv secțiunea de </w:t>
            </w:r>
            <w:r>
              <w:rPr>
                <w:rStyle w:val="Emphasis"/>
                <w:rFonts w:eastAsia="" w:ascii="Trebuchet MS" w:hAnsi="Trebuchet MS" w:eastAsiaTheme="majorEastAsia"/>
                <w:sz w:val="22"/>
                <w:szCs w:val="22"/>
                <w:lang w:val="en-US" w:eastAsia="en-US" w:bidi="ar-SA"/>
              </w:rPr>
              <w:t>Întrebări &amp; răspunsuri</w:t>
            </w:r>
            <w:r>
              <w:rPr>
                <w:rFonts w:ascii="Trebuchet MS" w:hAnsi="Trebuchet MS"/>
                <w:sz w:val="22"/>
                <w:szCs w:val="22"/>
                <w:lang w:val="en-US" w:eastAsia="en-US" w:bidi="ar-SA"/>
              </w:rPr>
              <w:t>, precum și instrucțiunile emise de AM PTJ/MIPE.</w:t>
            </w:r>
          </w:p>
        </w:tc>
      </w:tr>
      <w:tr>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35</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2809/25.04.2025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Referitor la Apel de proiecte pentru finanțarea microîntreprinderilor din cadrul PTJ, vă rugăm să ne clarificați dacă următoarele coduri CAEN sunt eligibile:</w:t>
            </w:r>
          </w:p>
          <w:p>
            <w:pPr>
              <w:pStyle w:val="NormalWeb"/>
              <w:widowControl/>
              <w:numPr>
                <w:ilvl w:val="0"/>
                <w:numId w:val="10"/>
              </w:numPr>
              <w:spacing w:before="280" w:after="0"/>
              <w:jc w:val="both"/>
              <w:rPr>
                <w:rFonts w:ascii="Trebuchet MS" w:hAnsi="Trebuchet MS"/>
                <w:b/>
                <w:bCs/>
                <w:sz w:val="22"/>
                <w:szCs w:val="22"/>
              </w:rPr>
            </w:pPr>
            <w:r>
              <w:rPr>
                <w:rStyle w:val="Strong"/>
                <w:rFonts w:eastAsia="" w:ascii="Trebuchet MS" w:hAnsi="Trebuchet MS" w:eastAsiaTheme="majorEastAsia"/>
                <w:b w:val="false"/>
                <w:bCs w:val="false"/>
                <w:sz w:val="22"/>
                <w:szCs w:val="22"/>
                <w:lang w:val="en-US" w:eastAsia="en-US" w:bidi="ar-SA"/>
              </w:rPr>
              <w:t>CAEN 1083 – Prelucrarea ceaiului și a cafelei</w:t>
            </w:r>
          </w:p>
          <w:p>
            <w:pPr>
              <w:pStyle w:val="NormalWeb"/>
              <w:widowControl/>
              <w:numPr>
                <w:ilvl w:val="0"/>
                <w:numId w:val="10"/>
              </w:numPr>
              <w:spacing w:before="0" w:after="280"/>
              <w:jc w:val="both"/>
              <w:rPr>
                <w:rFonts w:ascii="Trebuchet MS" w:hAnsi="Trebuchet MS"/>
                <w:b/>
                <w:bCs/>
                <w:sz w:val="22"/>
                <w:szCs w:val="22"/>
              </w:rPr>
            </w:pPr>
            <w:r>
              <w:rPr>
                <w:rStyle w:val="Strong"/>
                <w:rFonts w:eastAsia="" w:ascii="Trebuchet MS" w:hAnsi="Trebuchet MS" w:eastAsiaTheme="majorEastAsia"/>
                <w:b w:val="false"/>
                <w:bCs w:val="false"/>
                <w:sz w:val="22"/>
                <w:szCs w:val="22"/>
                <w:lang w:val="en-US" w:eastAsia="en-US" w:bidi="ar-SA"/>
              </w:rPr>
              <w:t>CAEN 9610 – Spălarea și curățarea articolelor textile și a produselor din blană</w:t>
            </w:r>
          </w:p>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r>
          </w:p>
        </w:tc>
        <w:tc>
          <w:tcPr>
            <w:tcW w:w="5113"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 xml:space="preserve">Având în vedere solicitarea dumneavoastră transmisă pe e-mail în data de </w:t>
            </w:r>
            <w:r>
              <w:rPr>
                <w:rStyle w:val="Strong"/>
                <w:rFonts w:eastAsia="" w:ascii="Trebuchet MS" w:hAnsi="Trebuchet MS" w:eastAsiaTheme="majorEastAsia"/>
                <w:sz w:val="22"/>
                <w:szCs w:val="22"/>
                <w:lang w:val="en-US" w:eastAsia="en-US" w:bidi="ar-SA"/>
              </w:rPr>
              <w:t>25.04.2025</w:t>
            </w:r>
            <w:r>
              <w:rPr>
                <w:rFonts w:ascii="Trebuchet MS" w:hAnsi="Trebuchet MS"/>
                <w:sz w:val="22"/>
                <w:szCs w:val="22"/>
                <w:lang w:val="en-US" w:eastAsia="en-US" w:bidi="ar-SA"/>
              </w:rPr>
              <w:t xml:space="preserve">, înregistrată la </w:t>
            </w:r>
            <w:r>
              <w:rPr>
                <w:rStyle w:val="Strong"/>
                <w:rFonts w:eastAsia="" w:ascii="Trebuchet MS" w:hAnsi="Trebuchet MS" w:eastAsiaTheme="majorEastAsia"/>
                <w:sz w:val="22"/>
                <w:szCs w:val="22"/>
                <w:lang w:val="en-US" w:eastAsia="en-US" w:bidi="ar-SA"/>
              </w:rPr>
              <w:t>ADRSE</w:t>
            </w:r>
            <w:r>
              <w:rPr>
                <w:rFonts w:ascii="Trebuchet MS" w:hAnsi="Trebuchet MS"/>
                <w:sz w:val="22"/>
                <w:szCs w:val="22"/>
                <w:lang w:val="en-US" w:eastAsia="en-US" w:bidi="ar-SA"/>
              </w:rPr>
              <w:t xml:space="preserve"> cu nr. </w:t>
            </w:r>
            <w:r>
              <w:rPr>
                <w:rStyle w:val="Strong"/>
                <w:rFonts w:eastAsia="" w:ascii="Trebuchet MS" w:hAnsi="Trebuchet MS" w:eastAsiaTheme="majorEastAsia"/>
                <w:sz w:val="22"/>
                <w:szCs w:val="22"/>
                <w:lang w:val="en-US" w:eastAsia="en-US" w:bidi="ar-SA"/>
              </w:rPr>
              <w:t>2809/25.04.2025</w:t>
            </w:r>
            <w:r>
              <w:rPr>
                <w:rFonts w:ascii="Trebuchet MS" w:hAnsi="Trebuchet MS"/>
                <w:sz w:val="22"/>
                <w:szCs w:val="22"/>
                <w:lang w:val="en-US" w:eastAsia="en-US" w:bidi="ar-SA"/>
              </w:rPr>
              <w:t xml:space="preserve">, cu privire la apelul de proiecte </w:t>
            </w:r>
            <w:r>
              <w:rPr>
                <w:rStyle w:val="Emphasis"/>
                <w:rFonts w:eastAsia="" w:ascii="Trebuchet MS" w:hAnsi="Trebuchet MS" w:eastAsiaTheme="majorEastAsia"/>
                <w:sz w:val="22"/>
                <w:szCs w:val="22"/>
                <w:lang w:val="en-US" w:eastAsia="en-US" w:bidi="ar-SA"/>
              </w:rPr>
              <w:t>Sprijin pentru dezvoltarea microîntreprinderilor</w:t>
            </w:r>
            <w:r>
              <w:rPr>
                <w:rFonts w:ascii="Trebuchet MS" w:hAnsi="Trebuchet MS"/>
                <w:sz w:val="22"/>
                <w:szCs w:val="22"/>
                <w:lang w:val="en-US" w:eastAsia="en-US" w:bidi="ar-SA"/>
              </w:rPr>
              <w:t xml:space="preserve">, din cadrul </w:t>
            </w:r>
            <w:r>
              <w:rPr>
                <w:rStyle w:val="Strong"/>
                <w:rFonts w:eastAsia="" w:ascii="Trebuchet MS" w:hAnsi="Trebuchet MS" w:eastAsiaTheme="majorEastAsia"/>
                <w:sz w:val="22"/>
                <w:szCs w:val="22"/>
                <w:lang w:val="en-US" w:eastAsia="en-US" w:bidi="ar-SA"/>
              </w:rPr>
              <w:t>Programului Tranziție Justă 2021-2027</w:t>
            </w:r>
            <w:r>
              <w:rPr>
                <w:rFonts w:ascii="Trebuchet MS" w:hAnsi="Trebuchet MS"/>
                <w:sz w:val="22"/>
                <w:szCs w:val="22"/>
                <w:lang w:val="en-US" w:eastAsia="en-US" w:bidi="ar-SA"/>
              </w:rPr>
              <w:t>, vă precizăm următoarele: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 xml:space="preserve">Pentru a verifica dacă un cod CAEN se află pe lista codurilor CAEN neeligibile, vă rugăm să consultați </w:t>
            </w:r>
            <w:r>
              <w:rPr>
                <w:rStyle w:val="Strong"/>
                <w:rFonts w:eastAsia="" w:ascii="Trebuchet MS" w:hAnsi="Trebuchet MS" w:eastAsiaTheme="majorEastAsia"/>
                <w:sz w:val="22"/>
                <w:szCs w:val="22"/>
                <w:lang w:val="en-US" w:eastAsia="en-US" w:bidi="ar-SA"/>
              </w:rPr>
              <w:t>„Anexa nr. 2 – Schema de măsuri de ajutor de minimis”</w:t>
            </w:r>
            <w:r>
              <w:rPr>
                <w:rFonts w:ascii="Trebuchet MS" w:hAnsi="Trebuchet MS"/>
                <w:sz w:val="22"/>
                <w:szCs w:val="22"/>
                <w:lang w:val="en-US" w:eastAsia="en-US" w:bidi="ar-SA"/>
              </w:rPr>
              <w:t xml:space="preserve">, având ca obiectiv dezvoltarea microîntreprinderilor prin acordarea de sprijin pentru creșterea durabilă și crearea de locuri de muncă, în cadrul </w:t>
            </w:r>
            <w:r>
              <w:rPr>
                <w:rStyle w:val="Strong"/>
                <w:rFonts w:eastAsia="" w:ascii="Trebuchet MS" w:hAnsi="Trebuchet MS" w:eastAsiaTheme="majorEastAsia"/>
                <w:sz w:val="22"/>
                <w:szCs w:val="22"/>
                <w:lang w:val="en-US" w:eastAsia="en-US" w:bidi="ar-SA"/>
              </w:rPr>
              <w:t>Programului Tranziție Justă 2021-2027</w:t>
            </w:r>
            <w:r>
              <w:rPr>
                <w:rFonts w:ascii="Trebuchet MS" w:hAnsi="Trebuchet MS"/>
                <w:sz w:val="22"/>
                <w:szCs w:val="22"/>
                <w:lang w:val="en-US" w:eastAsia="en-US" w:bidi="ar-SA"/>
              </w:rPr>
              <w:t xml:space="preserve">, aprobată prin </w:t>
            </w:r>
            <w:r>
              <w:rPr>
                <w:rStyle w:val="Strong"/>
                <w:rFonts w:eastAsia="" w:ascii="Trebuchet MS" w:hAnsi="Trebuchet MS" w:eastAsiaTheme="majorEastAsia"/>
                <w:sz w:val="22"/>
                <w:szCs w:val="22"/>
                <w:lang w:val="en-US" w:eastAsia="en-US" w:bidi="ar-SA"/>
              </w:rPr>
              <w:t>Ordinul ministrului investițiilor și proiectelor europene nr. 654/2025</w:t>
            </w:r>
            <w:r>
              <w:rPr>
                <w:rFonts w:ascii="Trebuchet MS" w:hAnsi="Trebuchet MS"/>
                <w:sz w:val="22"/>
                <w:szCs w:val="22"/>
                <w:lang w:val="en-US" w:eastAsia="en-US" w:bidi="ar-SA"/>
              </w:rPr>
              <w:t>.</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Documentul poate fi descărcat de pe:</w:t>
            </w:r>
          </w:p>
          <w:p>
            <w:pPr>
              <w:pStyle w:val="NormalWeb"/>
              <w:widowControl/>
              <w:numPr>
                <w:ilvl w:val="0"/>
                <w:numId w:val="11"/>
              </w:numPr>
              <w:spacing w:before="280" w:after="0"/>
              <w:jc w:val="both"/>
              <w:rPr>
                <w:rFonts w:ascii="Trebuchet MS" w:hAnsi="Trebuchet MS"/>
                <w:sz w:val="22"/>
                <w:szCs w:val="22"/>
              </w:rPr>
            </w:pPr>
            <w:hyperlink r:id="rId12" w:tgtFrame="_new">
              <w:r>
                <w:rPr>
                  <w:rStyle w:val="Hyperlink"/>
                  <w:rFonts w:eastAsia="" w:ascii="Trebuchet MS" w:hAnsi="Trebuchet MS" w:eastAsiaTheme="majorEastAsia"/>
                  <w:sz w:val="22"/>
                  <w:szCs w:val="22"/>
                  <w:lang w:val="en-US" w:eastAsia="en-US" w:bidi="ar-SA"/>
                </w:rPr>
                <w:t>https://mfe.gov.ro/ptj/noutati/</w:t>
              </w:r>
            </w:hyperlink>
          </w:p>
          <w:p>
            <w:pPr>
              <w:pStyle w:val="NormalWeb"/>
              <w:widowControl/>
              <w:numPr>
                <w:ilvl w:val="0"/>
                <w:numId w:val="11"/>
              </w:numPr>
              <w:spacing w:before="0" w:after="280"/>
              <w:jc w:val="both"/>
              <w:rPr>
                <w:rFonts w:ascii="Trebuchet MS" w:hAnsi="Trebuchet MS"/>
                <w:sz w:val="22"/>
                <w:szCs w:val="22"/>
              </w:rPr>
            </w:pPr>
            <w:hyperlink r:id="rId13" w:tgtFrame="_new">
              <w:r>
                <w:rPr>
                  <w:rStyle w:val="Hyperlink"/>
                  <w:rFonts w:eastAsia="" w:ascii="Trebuchet MS" w:hAnsi="Trebuchet MS" w:eastAsiaTheme="majorEastAsia"/>
                  <w:sz w:val="22"/>
                  <w:szCs w:val="22"/>
                  <w:lang w:val="en-US" w:eastAsia="en-US" w:bidi="ar-SA"/>
                </w:rPr>
                <w:t>www.adrse.ro/PTJ_2021/Comunicate</w:t>
              </w:r>
            </w:hyperlink>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 xml:space="preserve">Pentru a stabili eligibilitatea activităților din cadrul unui proiect, vă rugăm să aveți în vedere și prevederile </w:t>
            </w:r>
            <w:r>
              <w:rPr>
                <w:rStyle w:val="Strong"/>
                <w:rFonts w:eastAsia="" w:ascii="Trebuchet MS" w:hAnsi="Trebuchet MS" w:eastAsiaTheme="majorEastAsia"/>
                <w:sz w:val="22"/>
                <w:szCs w:val="22"/>
                <w:lang w:val="en-US" w:eastAsia="en-US" w:bidi="ar-SA"/>
              </w:rPr>
              <w:t>Secțiunii 5.3 – Eligibilitatea activităților</w:t>
            </w:r>
            <w:r>
              <w:rPr>
                <w:rFonts w:ascii="Trebuchet MS" w:hAnsi="Trebuchet MS"/>
                <w:sz w:val="22"/>
                <w:szCs w:val="22"/>
                <w:lang w:val="en-US" w:eastAsia="en-US" w:bidi="ar-SA"/>
              </w:rPr>
              <w:t xml:space="preserve"> din </w:t>
            </w:r>
            <w:r>
              <w:rPr>
                <w:rStyle w:val="Emphasis"/>
                <w:rFonts w:eastAsia="" w:ascii="Trebuchet MS" w:hAnsi="Trebuchet MS" w:eastAsiaTheme="majorEastAsia"/>
                <w:sz w:val="22"/>
                <w:szCs w:val="22"/>
                <w:lang w:val="en-US" w:eastAsia="en-US" w:bidi="ar-SA"/>
              </w:rPr>
              <w:t>Ghidul solicitantului</w:t>
            </w:r>
            <w:r>
              <w:rPr>
                <w:rFonts w:ascii="Trebuchet MS" w:hAnsi="Trebuchet MS"/>
                <w:sz w:val="22"/>
                <w:szCs w:val="22"/>
                <w:lang w:val="en-US" w:eastAsia="en-US" w:bidi="ar-SA"/>
              </w:rPr>
              <w:t>.</w:t>
            </w:r>
          </w:p>
        </w:tc>
      </w:tr>
      <w:tr>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36</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3091/07.05.2025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 xml:space="preserve">Dorim să depunem un proiect pentru activitatea de cabinet veterinar prin </w:t>
            </w:r>
            <w:r>
              <w:rPr>
                <w:rStyle w:val="Emphasis"/>
                <w:rFonts w:eastAsia="" w:ascii="Trebuchet MS" w:hAnsi="Trebuchet MS" w:eastAsiaTheme="majorEastAsia"/>
                <w:sz w:val="22"/>
                <w:szCs w:val="22"/>
                <w:lang w:val="en-US" w:eastAsia="en-US" w:bidi="ar-SA"/>
              </w:rPr>
              <w:t>Programul Tranziție Justă – Microîntreprinderi</w:t>
            </w:r>
            <w:r>
              <w:rPr>
                <w:rFonts w:ascii="Trebuchet MS" w:hAnsi="Trebuchet MS"/>
                <w:sz w:val="22"/>
                <w:szCs w:val="22"/>
                <w:lang w:val="en-US" w:eastAsia="en-US" w:bidi="ar-SA"/>
              </w:rPr>
              <w:t>.</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Pe lângă dotarea cabinetului în sine, dorim să avem posibilitatea de a presta servicii medicale veterinare și la terți (ex. ferme zootehnice).</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 xml:space="preserve">Pentru aceasta, am dori să cumpărăm din banii noștri, ca și cheltuială neeligibilă, un mijloc de transport. </w:t>
            </w:r>
            <w:r>
              <w:rPr>
                <w:rStyle w:val="Strong"/>
                <w:rFonts w:eastAsia="" w:ascii="Trebuchet MS" w:hAnsi="Trebuchet MS" w:eastAsiaTheme="majorEastAsia"/>
                <w:sz w:val="22"/>
                <w:szCs w:val="22"/>
                <w:lang w:val="en-US" w:eastAsia="en-US" w:bidi="ar-SA"/>
              </w:rPr>
              <w:t>Dotarea acestuia cu echipamente și carosarea pentru a putea fi o ambulanță este eligibilă?</w:t>
            </w:r>
          </w:p>
        </w:tc>
        <w:tc>
          <w:tcPr>
            <w:tcW w:w="5113" w:type="dxa"/>
            <w:tcBorders/>
          </w:tcPr>
          <w:p>
            <w:pPr>
              <w:pStyle w:val="NormalWeb"/>
              <w:widowControl/>
              <w:spacing w:before="0" w:after="280"/>
              <w:jc w:val="both"/>
              <w:rPr>
                <w:rFonts w:ascii="Trebuchet MS" w:hAnsi="Trebuchet MS"/>
                <w:b/>
                <w:bCs/>
                <w:sz w:val="22"/>
                <w:szCs w:val="22"/>
              </w:rPr>
            </w:pPr>
            <w:r>
              <w:rPr>
                <w:rStyle w:val="Strong"/>
                <w:rFonts w:eastAsia="" w:ascii="Trebuchet MS" w:hAnsi="Trebuchet MS" w:eastAsiaTheme="majorEastAsia"/>
                <w:b w:val="false"/>
                <w:bCs w:val="false"/>
                <w:sz w:val="22"/>
                <w:szCs w:val="22"/>
                <w:lang w:val="en-US" w:eastAsia="en-US" w:bidi="ar-SA"/>
              </w:rPr>
              <w:t>Având în vedere solicitarea dumneavoastră transmisă pe mail în data de 07.05.2025, înregistrată la ADRSE cu nr. 3091/07.05.2025, cu privire la apelul de proiecte Sprijin pentru dezvoltarea microîntreprinderilor, PTJ, din cadrul Programului Tranziție Justă 2021-2027, vă comunicăm următoarele: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Prin apelurile de proiecte lansate se finanțează proiecte care propun activități din domeniile care nu sunt excluse de prevederile Regulamentului (UE) 2021/1060, a Regulamentului (UE) 2021/1056, a regulamentului aplicabil în materia ajutorului de minimis și a analizei DNSH a PTJ, în conformitate cu anexa la schema de măsuri de ajutor de minimis având ca obiectiv dezvoltarea microîntreprinderilor prin acordarea de sprijin pentru creșterea durabilă și crearea de locuri de muncă în cadrul Programului Tranziție Justă 2021-2027.</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În conformitate cu prevederile Ghidului Solicitantului:</w:t>
            </w:r>
          </w:p>
          <w:p>
            <w:pPr>
              <w:pStyle w:val="NormalWeb"/>
              <w:widowControl/>
              <w:numPr>
                <w:ilvl w:val="0"/>
                <w:numId w:val="12"/>
              </w:numPr>
              <w:spacing w:before="280" w:after="280"/>
              <w:jc w:val="both"/>
              <w:rPr>
                <w:rFonts w:ascii="Trebuchet MS" w:hAnsi="Trebuchet MS"/>
                <w:sz w:val="22"/>
                <w:szCs w:val="22"/>
              </w:rPr>
            </w:pPr>
            <w:r>
              <w:rPr>
                <w:rFonts w:ascii="Trebuchet MS" w:hAnsi="Trebuchet MS"/>
                <w:sz w:val="22"/>
                <w:szCs w:val="22"/>
                <w:lang w:val="en-US" w:eastAsia="en-US" w:bidi="ar-SA"/>
              </w:rPr>
              <w:t>secțiunea 5.2 Cerințe privind eligibilitatea proiectului: sunt finanțate proiecte „durabile care integrează principiul de a nu prejudicia semnificativ mediul (DNSH) și care contribuie la tranziția la o economie cu emisii reduse de carbon și la atingerea țintelor de mediu prin utilizarea în activitățile propuse, acolo unde este posibil, a energiei regenerabile și/sau a resurselor ce provin din activități de reciclare, reparare și reutilizare, precum și a celor mai bune tehnologii disponibile din perspectiva protecției mediului și a eficienței energetice.”</w:t>
            </w:r>
          </w:p>
        </w:tc>
      </w:tr>
      <w:tr>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37</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3457/21.05.2025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280"/>
              <w:jc w:val="both"/>
              <w:rPr>
                <w:rFonts w:ascii="Trebuchet MS" w:hAnsi="Trebuchet MS"/>
                <w:b/>
                <w:bCs/>
                <w:sz w:val="22"/>
                <w:szCs w:val="22"/>
              </w:rPr>
            </w:pPr>
            <w:r>
              <w:rPr>
                <w:rStyle w:val="Strong"/>
                <w:rFonts w:eastAsia="" w:ascii="Trebuchet MS" w:hAnsi="Trebuchet MS" w:eastAsiaTheme="majorEastAsia"/>
                <w:b w:val="false"/>
                <w:bCs w:val="false"/>
                <w:sz w:val="22"/>
                <w:szCs w:val="22"/>
                <w:lang w:val="en-US" w:eastAsia="en-US" w:bidi="ar-SA"/>
              </w:rPr>
              <w:t>Suntem o microîntreprindere din județul Galați și dorim să depunem un proiect în cadrul programului PTJ Micro pentru construirea unei fabrici de producție și asamblare a panourilor electrice.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Am realizat proiectul tehnic de construcție și am depus cererea pentru certificatul de urbanism.</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Întrebarea noastră este următoarea:</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În certificatul de urbanism ni se recomandă, pentru obținerea autorizației de construire, următoarele:</w:t>
            </w:r>
          </w:p>
          <w:p>
            <w:pPr>
              <w:pStyle w:val="NormalWeb"/>
              <w:widowControl/>
              <w:numPr>
                <w:ilvl w:val="0"/>
                <w:numId w:val="13"/>
              </w:numPr>
              <w:spacing w:before="280" w:after="0"/>
              <w:jc w:val="both"/>
              <w:rPr>
                <w:rFonts w:ascii="Trebuchet MS" w:hAnsi="Trebuchet MS"/>
                <w:sz w:val="22"/>
                <w:szCs w:val="22"/>
              </w:rPr>
            </w:pPr>
            <w:r>
              <w:rPr>
                <w:rFonts w:ascii="Trebuchet MS" w:hAnsi="Trebuchet MS"/>
                <w:sz w:val="22"/>
                <w:szCs w:val="22"/>
                <w:lang w:val="en-US" w:eastAsia="en-US" w:bidi="ar-SA"/>
              </w:rPr>
              <w:t>Studii de specialitate;</w:t>
            </w:r>
          </w:p>
          <w:p>
            <w:pPr>
              <w:pStyle w:val="NormalWeb"/>
              <w:widowControl/>
              <w:numPr>
                <w:ilvl w:val="0"/>
                <w:numId w:val="13"/>
              </w:numPr>
              <w:spacing w:before="0" w:after="0"/>
              <w:jc w:val="both"/>
              <w:rPr>
                <w:rFonts w:ascii="Trebuchet MS" w:hAnsi="Trebuchet MS"/>
                <w:sz w:val="22"/>
                <w:szCs w:val="22"/>
              </w:rPr>
            </w:pPr>
            <w:r>
              <w:rPr>
                <w:rFonts w:ascii="Trebuchet MS" w:hAnsi="Trebuchet MS"/>
                <w:sz w:val="22"/>
                <w:szCs w:val="22"/>
                <w:lang w:val="en-US" w:eastAsia="en-US" w:bidi="ar-SA"/>
              </w:rPr>
              <w:t>Plan Urbanistic Zonal;</w:t>
            </w:r>
          </w:p>
          <w:p>
            <w:pPr>
              <w:pStyle w:val="NormalWeb"/>
              <w:widowControl/>
              <w:numPr>
                <w:ilvl w:val="0"/>
                <w:numId w:val="13"/>
              </w:numPr>
              <w:spacing w:before="0" w:after="0"/>
              <w:jc w:val="both"/>
              <w:rPr>
                <w:rFonts w:ascii="Trebuchet MS" w:hAnsi="Trebuchet MS"/>
                <w:sz w:val="22"/>
                <w:szCs w:val="22"/>
              </w:rPr>
            </w:pPr>
            <w:r>
              <w:rPr>
                <w:rFonts w:ascii="Trebuchet MS" w:hAnsi="Trebuchet MS"/>
                <w:sz w:val="22"/>
                <w:szCs w:val="22"/>
                <w:lang w:val="en-US" w:eastAsia="en-US" w:bidi="ar-SA"/>
              </w:rPr>
              <w:t>Studiu geotehnic;</w:t>
            </w:r>
          </w:p>
          <w:p>
            <w:pPr>
              <w:pStyle w:val="NormalWeb"/>
              <w:widowControl/>
              <w:numPr>
                <w:ilvl w:val="0"/>
                <w:numId w:val="13"/>
              </w:numPr>
              <w:spacing w:before="0" w:after="0"/>
              <w:jc w:val="both"/>
              <w:rPr>
                <w:rFonts w:ascii="Trebuchet MS" w:hAnsi="Trebuchet MS"/>
                <w:sz w:val="22"/>
                <w:szCs w:val="22"/>
              </w:rPr>
            </w:pPr>
            <w:r>
              <w:rPr>
                <w:rFonts w:ascii="Trebuchet MS" w:hAnsi="Trebuchet MS"/>
                <w:sz w:val="22"/>
                <w:szCs w:val="22"/>
                <w:lang w:val="en-US" w:eastAsia="en-US" w:bidi="ar-SA"/>
              </w:rPr>
              <w:t>Plan topografic al imobilului, vizat de OCPI;</w:t>
            </w:r>
          </w:p>
          <w:p>
            <w:pPr>
              <w:pStyle w:val="NormalWeb"/>
              <w:widowControl/>
              <w:numPr>
                <w:ilvl w:val="0"/>
                <w:numId w:val="13"/>
              </w:numPr>
              <w:spacing w:before="0" w:after="0"/>
              <w:jc w:val="both"/>
              <w:rPr>
                <w:rFonts w:ascii="Trebuchet MS" w:hAnsi="Trebuchet MS"/>
                <w:sz w:val="22"/>
                <w:szCs w:val="22"/>
              </w:rPr>
            </w:pPr>
            <w:r>
              <w:rPr>
                <w:rFonts w:ascii="Trebuchet MS" w:hAnsi="Trebuchet MS"/>
                <w:sz w:val="22"/>
                <w:szCs w:val="22"/>
                <w:lang w:val="en-US" w:eastAsia="en-US" w:bidi="ar-SA"/>
              </w:rPr>
              <w:t>Studiu privind posibilitatea utilizării unor sisteme alternative de eficiență ridicată, conform Legii nr. 372/2005;</w:t>
            </w:r>
          </w:p>
          <w:p>
            <w:pPr>
              <w:pStyle w:val="NormalWeb"/>
              <w:widowControl/>
              <w:numPr>
                <w:ilvl w:val="0"/>
                <w:numId w:val="13"/>
              </w:numPr>
              <w:spacing w:before="0" w:after="280"/>
              <w:jc w:val="both"/>
              <w:rPr>
                <w:rFonts w:ascii="Trebuchet MS" w:hAnsi="Trebuchet MS"/>
                <w:sz w:val="22"/>
                <w:szCs w:val="22"/>
              </w:rPr>
            </w:pPr>
            <w:r>
              <w:rPr>
                <w:rFonts w:ascii="Trebuchet MS" w:hAnsi="Trebuchet MS"/>
                <w:sz w:val="22"/>
                <w:szCs w:val="22"/>
                <w:lang w:val="en-US" w:eastAsia="en-US" w:bidi="ar-SA"/>
              </w:rPr>
              <w:t>Acordul vecinilor pentru desfășurarea activității (dacă este cazul).</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Am început deja procedurile și dorim să știm dacă includerea acestor recomandări în certificatul de urbanism poate constitui un motiv de respingere a proiectului nostru.</w:t>
            </w:r>
          </w:p>
        </w:tc>
        <w:tc>
          <w:tcPr>
            <w:tcW w:w="5113" w:type="dxa"/>
            <w:tcBorders/>
          </w:tcPr>
          <w:p>
            <w:pPr>
              <w:pStyle w:val="NormalWeb"/>
              <w:widowControl/>
              <w:spacing w:before="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Având în vedere solicitarea dumneavoastră transmisă pe e-mail în data de 21.05.2025, înregistrată la ADRSE cu nr. 3457/21.05.2025, cu privire la apelul de proiecte „Sprijin pentru dezvoltarea microîntreprinderilor”, din cadrul Programului Tranziție Justă 2021-2027, vă precizăm următoarele: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 xml:space="preserve">Conform prevederilor de la </w:t>
            </w:r>
            <w:r>
              <w:rPr>
                <w:rStyle w:val="Strong"/>
                <w:rFonts w:eastAsia="" w:ascii="Trebuchet MS" w:hAnsi="Trebuchet MS" w:eastAsiaTheme="majorEastAsia"/>
                <w:sz w:val="22"/>
                <w:szCs w:val="22"/>
                <w:lang w:val="en-US" w:eastAsia="en-US" w:bidi="ar-SA"/>
              </w:rPr>
              <w:t>Capitolul 7.4 din Ghidul solicitantului</w:t>
            </w:r>
            <w:r>
              <w:rPr>
                <w:rFonts w:ascii="Trebuchet MS" w:hAnsi="Trebuchet MS"/>
                <w:sz w:val="22"/>
                <w:szCs w:val="22"/>
                <w:lang w:val="en-US" w:eastAsia="en-US" w:bidi="ar-SA"/>
              </w:rPr>
              <w:t xml:space="preserve">, la depunerea cererii de finanțare solicitantul trebuie să prezinte </w:t>
            </w:r>
            <w:r>
              <w:rPr>
                <w:rStyle w:val="Strong"/>
                <w:rFonts w:eastAsia="" w:ascii="Trebuchet MS" w:hAnsi="Trebuchet MS" w:eastAsiaTheme="majorEastAsia"/>
                <w:sz w:val="22"/>
                <w:szCs w:val="22"/>
                <w:lang w:val="en-US" w:eastAsia="en-US" w:bidi="ar-SA"/>
              </w:rPr>
              <w:t>Certificatul de urbanism</w:t>
            </w:r>
            <w:r>
              <w:rPr>
                <w:rFonts w:ascii="Trebuchet MS" w:hAnsi="Trebuchet MS"/>
                <w:sz w:val="22"/>
                <w:szCs w:val="22"/>
                <w:lang w:val="en-US" w:eastAsia="en-US" w:bidi="ar-SA"/>
              </w:rPr>
              <w:t>, în termen de valabilitate, emis pentru obiectivele de investiție ale proiectului.</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 xml:space="preserve">Pe de altă parte, conform prevederilor </w:t>
            </w:r>
            <w:r>
              <w:rPr>
                <w:rStyle w:val="Strong"/>
                <w:rFonts w:eastAsia="" w:ascii="Trebuchet MS" w:hAnsi="Trebuchet MS" w:eastAsiaTheme="majorEastAsia"/>
                <w:sz w:val="22"/>
                <w:szCs w:val="22"/>
                <w:lang w:val="en-US" w:eastAsia="en-US" w:bidi="ar-SA"/>
              </w:rPr>
              <w:t>Capitolului 8.9.1 din Ghid</w:t>
            </w:r>
            <w:r>
              <w:rPr>
                <w:rFonts w:ascii="Trebuchet MS" w:hAnsi="Trebuchet MS"/>
                <w:sz w:val="22"/>
                <w:szCs w:val="22"/>
                <w:lang w:val="en-US" w:eastAsia="en-US" w:bidi="ar-SA"/>
              </w:rPr>
              <w:t xml:space="preserve">, </w:t>
            </w:r>
            <w:r>
              <w:rPr>
                <w:rStyle w:val="Strong"/>
                <w:rFonts w:eastAsia="" w:ascii="Trebuchet MS" w:hAnsi="Trebuchet MS" w:eastAsiaTheme="majorEastAsia"/>
                <w:sz w:val="22"/>
                <w:szCs w:val="22"/>
                <w:lang w:val="en-US" w:eastAsia="en-US" w:bidi="ar-SA"/>
              </w:rPr>
              <w:t>autorizația de construire</w:t>
            </w:r>
            <w:r>
              <w:rPr>
                <w:rFonts w:ascii="Trebuchet MS" w:hAnsi="Trebuchet MS"/>
                <w:sz w:val="22"/>
                <w:szCs w:val="22"/>
                <w:lang w:val="en-US" w:eastAsia="en-US" w:bidi="ar-SA"/>
              </w:rPr>
              <w:t xml:space="preserve">, în termen de valabilitate, se va depune </w:t>
            </w:r>
            <w:r>
              <w:rPr>
                <w:rStyle w:val="Strong"/>
                <w:rFonts w:eastAsia="" w:ascii="Trebuchet MS" w:hAnsi="Trebuchet MS" w:eastAsiaTheme="majorEastAsia"/>
                <w:sz w:val="22"/>
                <w:szCs w:val="22"/>
                <w:lang w:val="en-US" w:eastAsia="en-US" w:bidi="ar-SA"/>
              </w:rPr>
              <w:t>în cel mult 9 luni de la intrarea în vigoare a contractului de finanțare</w:t>
            </w:r>
            <w:r>
              <w:rPr>
                <w:rFonts w:ascii="Trebuchet MS" w:hAnsi="Trebuchet MS"/>
                <w:sz w:val="22"/>
                <w:szCs w:val="22"/>
                <w:lang w:val="en-US" w:eastAsia="en-US" w:bidi="ar-SA"/>
              </w:rPr>
              <w:t>.</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 xml:space="preserve">De asemenea, vă rugăm să aveți în vedere prevederile Ghidului solicitantului cu privire la </w:t>
            </w:r>
            <w:r>
              <w:rPr>
                <w:rStyle w:val="Strong"/>
                <w:rFonts w:eastAsia="" w:ascii="Trebuchet MS" w:hAnsi="Trebuchet MS" w:eastAsiaTheme="majorEastAsia"/>
                <w:sz w:val="22"/>
                <w:szCs w:val="22"/>
                <w:lang w:val="en-US" w:eastAsia="en-US" w:bidi="ar-SA"/>
              </w:rPr>
              <w:t>locul de implementare</w:t>
            </w:r>
            <w:r>
              <w:rPr>
                <w:rFonts w:ascii="Trebuchet MS" w:hAnsi="Trebuchet MS"/>
                <w:sz w:val="22"/>
                <w:szCs w:val="22"/>
                <w:lang w:val="en-US" w:eastAsia="en-US" w:bidi="ar-SA"/>
              </w:rPr>
              <w:t>.</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Precizăm că răspunsul nostru se bazează pe analiza elementelor minimale prezentate de dumneavoastră. În condițiile verificării unei documentații complete, pe baza criteriilor de evaluare și selecție, observațiile pot să difere.</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 xml:space="preserve">Vă rugăm să consultați periodic pagina de website a </w:t>
            </w:r>
            <w:r>
              <w:rPr>
                <w:rStyle w:val="Strong"/>
                <w:rFonts w:eastAsia="" w:ascii="Trebuchet MS" w:hAnsi="Trebuchet MS" w:eastAsiaTheme="majorEastAsia"/>
                <w:sz w:val="22"/>
                <w:szCs w:val="22"/>
                <w:lang w:val="en-US" w:eastAsia="en-US" w:bidi="ar-SA"/>
              </w:rPr>
              <w:t>Ministerului Investițiilor și Proiectelor Europene</w:t>
            </w:r>
            <w:r>
              <w:rPr>
                <w:rFonts w:ascii="Trebuchet MS" w:hAnsi="Trebuchet MS"/>
                <w:sz w:val="22"/>
                <w:szCs w:val="22"/>
                <w:lang w:val="en-US" w:eastAsia="en-US" w:bidi="ar-SA"/>
              </w:rPr>
              <w:t xml:space="preserve"> pentru informații actualizate privind apelurile de proiecte PTJ, inclusiv secțiunea de </w:t>
            </w:r>
            <w:r>
              <w:rPr>
                <w:rStyle w:val="Strong"/>
                <w:rFonts w:eastAsia="" w:ascii="Trebuchet MS" w:hAnsi="Trebuchet MS" w:eastAsiaTheme="majorEastAsia"/>
                <w:sz w:val="22"/>
                <w:szCs w:val="22"/>
                <w:lang w:val="en-US" w:eastAsia="en-US" w:bidi="ar-SA"/>
              </w:rPr>
              <w:t>întrebări &amp; răspunsuri</w:t>
            </w:r>
            <w:r>
              <w:rPr>
                <w:rFonts w:ascii="Trebuchet MS" w:hAnsi="Trebuchet MS"/>
                <w:sz w:val="22"/>
                <w:szCs w:val="22"/>
                <w:lang w:val="en-US" w:eastAsia="en-US" w:bidi="ar-SA"/>
              </w:rPr>
              <w:t>, precum și instrucțiunile emise de AM PTJ/MIPE.</w:t>
            </w:r>
          </w:p>
        </w:tc>
      </w:tr>
      <w:tr>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38</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3529/22.05.2025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1.Paragraful/fragmentul de referință:</w:t>
            </w:r>
            <w:r>
              <w:rPr>
                <w:rFonts w:ascii="Trebuchet MS" w:hAnsi="Trebuchet MS"/>
                <w:sz w:val="22"/>
                <w:szCs w:val="22"/>
                <w:lang w:val="en-US" w:eastAsia="en-US" w:bidi="ar-SA"/>
              </w:rPr>
              <w:br/>
              <w:t>„În cazul în care prin cererea de finanțare solicitantul se angajează să creeze mai mult de 1 loc de muncă și intervine un nou an fiscal pe parcursul procesului de evaluare, selecție și contractare, atunci în anul fiscal respectiv numărul mediu de salariați nu poate să fie mai mic cu 20% față de cel înregistrat în anul anterior deschiderii apelului de proiecte, în caz contrar proiectul devine neeligibil.”</w:t>
            </w:r>
          </w:p>
          <w:p>
            <w:pPr>
              <w:pStyle w:val="NormalWeb"/>
              <w:widowControl/>
              <w:spacing w:before="28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Întrebarea formulată:</w:t>
            </w:r>
            <w:r>
              <w:rPr>
                <w:rFonts w:ascii="Trebuchet MS" w:hAnsi="Trebuchet MS"/>
                <w:sz w:val="22"/>
                <w:szCs w:val="22"/>
                <w:lang w:val="en-US" w:eastAsia="en-US" w:bidi="ar-SA"/>
              </w:rPr>
              <w:br/>
              <w:t>În situația în care un solicitant își asumă doar un singur loc de muncă (cel minim obligatoriu), are voie să înregistreze o scădere de până la 20% a numărului mediu de salariați în noul an fiscal?</w:t>
              <w:br/>
              <w:t>Sau, în acest caz (un singur loc de muncă), nu este permisă nicio scădere a numărului mediu de salariați?</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2. Paragraful/fragmentul de referință este următorul:</w:t>
            </w:r>
            <w:r>
              <w:rPr>
                <w:rFonts w:ascii="Trebuchet MS" w:hAnsi="Trebuchet MS"/>
                <w:sz w:val="22"/>
                <w:szCs w:val="22"/>
                <w:lang w:val="en-US" w:eastAsia="en-US" w:bidi="ar-SA"/>
              </w:rPr>
              <w:br/>
              <w:t>„7.4 Anexe și documente obligatorii la depunerea cererii .... 9. Ultima documentație tehnico-economică recepționată, în conformitate cu prevederile legale în vigoare, pentru obiectivele de investiție ale proiectului, pentru proiectele care prevăd lucrări, însoțită de:</w:t>
            </w:r>
          </w:p>
          <w:p>
            <w:pPr>
              <w:pStyle w:val="NormalWeb"/>
              <w:widowControl/>
              <w:numPr>
                <w:ilvl w:val="0"/>
                <w:numId w:val="14"/>
              </w:numPr>
              <w:spacing w:before="280" w:after="0"/>
              <w:jc w:val="both"/>
              <w:rPr>
                <w:rFonts w:ascii="Trebuchet MS" w:hAnsi="Trebuchet MS"/>
                <w:sz w:val="22"/>
                <w:szCs w:val="22"/>
              </w:rPr>
            </w:pPr>
            <w:r>
              <w:rPr>
                <w:rFonts w:ascii="Trebuchet MS" w:hAnsi="Trebuchet MS"/>
                <w:sz w:val="22"/>
                <w:szCs w:val="22"/>
                <w:lang w:val="en-US" w:eastAsia="en-US" w:bidi="ar-SA"/>
              </w:rPr>
              <w:t>Documentul care atestă aprobarea și recepția documentației tehnico-economice;</w:t>
            </w:r>
          </w:p>
          <w:p>
            <w:pPr>
              <w:pStyle w:val="NormalWeb"/>
              <w:widowControl/>
              <w:numPr>
                <w:ilvl w:val="0"/>
                <w:numId w:val="14"/>
              </w:numPr>
              <w:spacing w:before="0" w:after="0"/>
              <w:jc w:val="both"/>
              <w:rPr>
                <w:rFonts w:ascii="Trebuchet MS" w:hAnsi="Trebuchet MS"/>
                <w:sz w:val="22"/>
                <w:szCs w:val="22"/>
              </w:rPr>
            </w:pPr>
            <w:r>
              <w:rPr>
                <w:rFonts w:ascii="Trebuchet MS" w:hAnsi="Trebuchet MS"/>
                <w:sz w:val="22"/>
                <w:szCs w:val="22"/>
                <w:lang w:val="en-US" w:eastAsia="en-US" w:bidi="ar-SA"/>
              </w:rPr>
              <w:t>Planuri de amplasament sau planuri de situație;</w:t>
            </w:r>
          </w:p>
          <w:p>
            <w:pPr>
              <w:pStyle w:val="NormalWeb"/>
              <w:widowControl/>
              <w:numPr>
                <w:ilvl w:val="0"/>
                <w:numId w:val="14"/>
              </w:numPr>
              <w:spacing w:before="0" w:after="280"/>
              <w:jc w:val="both"/>
              <w:rPr>
                <w:rFonts w:ascii="Trebuchet MS" w:hAnsi="Trebuchet MS"/>
                <w:sz w:val="22"/>
                <w:szCs w:val="22"/>
              </w:rPr>
            </w:pPr>
            <w:r>
              <w:rPr>
                <w:rFonts w:ascii="Trebuchet MS" w:hAnsi="Trebuchet MS"/>
                <w:sz w:val="22"/>
                <w:szCs w:val="22"/>
                <w:lang w:val="en-US" w:eastAsia="en-US" w:bidi="ar-SA"/>
              </w:rPr>
              <w:t>Devizul general și devizele pe obiecte actualizate, asumate de solicitant.</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Ultima documentație tehnico-economică se referă la studiul de fezabilitate - SF (pentru construcții noi) sau Documentația de avizare a lucrărilor de intervenții - DALI (pentru intervenții la construcții existente) și se solicită doar pentru proiectele care vizează execuția de lucrări. Atenție! Pentru proiectele de investiții pentru care nu este obligatorie obținerea autorizației de construire, documentațiile tehnico-economice care se depun împreună cu cererea de finanțare vor fi însoțite și de planuri de amplasament sau planuri de situații și alte documente prevăzute de legislația aplicabilă.”</w:t>
            </w:r>
          </w:p>
          <w:p>
            <w:pPr>
              <w:pStyle w:val="NormalWeb"/>
              <w:widowControl/>
              <w:spacing w:before="28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Întrebare:</w:t>
            </w:r>
            <w:r>
              <w:rPr>
                <w:rFonts w:ascii="Trebuchet MS" w:hAnsi="Trebuchet MS"/>
                <w:sz w:val="22"/>
                <w:szCs w:val="22"/>
                <w:lang w:val="en-US" w:eastAsia="en-US" w:bidi="ar-SA"/>
              </w:rPr>
              <w:br/>
              <w:t>Pentru proiectele care vizează construcții noi și pentru care există deja autorizație de construire emisă, este acceptată ca documentație tehnico-economică studiul de fezabilitate (SF) sau este necesară transmiterea ca documentație tehnico-economică a DTAC-ului? În situația în care se solicită DTAC, este obligatorie și depunerea fazei SF sau DTAC-ul este considerat suficient, în condițiile în care autorizația a fost deja emisă?</w:t>
            </w:r>
          </w:p>
          <w:p>
            <w:pPr>
              <w:pStyle w:val="NormalWeb"/>
              <w:widowControl/>
              <w:spacing w:before="280" w:after="280"/>
              <w:jc w:val="both"/>
              <w:rPr>
                <w:rStyle w:val="Strong"/>
                <w:rFonts w:ascii="Trebuchet MS" w:hAnsi="Trebuchet MS" w:eastAsia="" w:eastAsiaTheme="majorEastAsia"/>
                <w:sz w:val="22"/>
                <w:szCs w:val="22"/>
              </w:rPr>
            </w:pPr>
            <w:r>
              <w:rPr>
                <w:rFonts w:eastAsia="" w:eastAsiaTheme="majorEastAsia" w:ascii="Trebuchet MS" w:hAnsi="Trebuchet MS"/>
                <w:sz w:val="22"/>
                <w:szCs w:val="22"/>
                <w:lang w:val="en-US" w:eastAsia="en-US" w:bidi="ar-SA"/>
              </w:rPr>
            </w:r>
          </w:p>
          <w:p>
            <w:pPr>
              <w:pStyle w:val="NormalWeb"/>
              <w:widowControl/>
              <w:spacing w:before="280" w:after="280"/>
              <w:jc w:val="both"/>
              <w:rPr>
                <w:rStyle w:val="Strong"/>
                <w:rFonts w:ascii="Trebuchet MS" w:hAnsi="Trebuchet MS" w:eastAsia="" w:eastAsiaTheme="majorEastAsia"/>
                <w:sz w:val="22"/>
                <w:szCs w:val="22"/>
              </w:rPr>
            </w:pPr>
            <w:r>
              <w:rPr>
                <w:rFonts w:eastAsia="" w:eastAsiaTheme="majorEastAsia" w:ascii="Trebuchet MS" w:hAnsi="Trebuchet MS"/>
                <w:sz w:val="22"/>
                <w:szCs w:val="22"/>
                <w:lang w:val="en-US" w:eastAsia="en-US" w:bidi="ar-SA"/>
              </w:rPr>
            </w:r>
          </w:p>
          <w:p>
            <w:pPr>
              <w:pStyle w:val="NormalWeb"/>
              <w:widowControl/>
              <w:spacing w:before="280" w:after="280"/>
              <w:jc w:val="both"/>
              <w:rPr>
                <w:rStyle w:val="Strong"/>
                <w:rFonts w:ascii="Trebuchet MS" w:hAnsi="Trebuchet MS" w:eastAsia="" w:eastAsiaTheme="majorEastAsia"/>
                <w:sz w:val="22"/>
                <w:szCs w:val="22"/>
              </w:rPr>
            </w:pPr>
            <w:r>
              <w:rPr>
                <w:rFonts w:eastAsia="" w:eastAsiaTheme="majorEastAsia" w:ascii="Trebuchet MS" w:hAnsi="Trebuchet MS"/>
                <w:sz w:val="22"/>
                <w:szCs w:val="22"/>
                <w:lang w:val="en-US" w:eastAsia="en-US" w:bidi="ar-SA"/>
              </w:rPr>
            </w:r>
          </w:p>
          <w:p>
            <w:pPr>
              <w:pStyle w:val="NormalWeb"/>
              <w:widowControl/>
              <w:spacing w:before="280" w:after="280"/>
              <w:jc w:val="both"/>
              <w:rPr>
                <w:rStyle w:val="Strong"/>
                <w:rFonts w:ascii="Trebuchet MS" w:hAnsi="Trebuchet MS" w:eastAsia="" w:eastAsiaTheme="majorEastAsia"/>
                <w:sz w:val="22"/>
                <w:szCs w:val="22"/>
              </w:rPr>
            </w:pPr>
            <w:r>
              <w:rPr>
                <w:rFonts w:eastAsia="" w:eastAsiaTheme="majorEastAsia" w:ascii="Trebuchet MS" w:hAnsi="Trebuchet MS"/>
                <w:sz w:val="22"/>
                <w:szCs w:val="22"/>
                <w:lang w:val="en-US" w:eastAsia="en-US" w:bidi="ar-SA"/>
              </w:rPr>
            </w:r>
          </w:p>
          <w:p>
            <w:pPr>
              <w:pStyle w:val="NormalWeb"/>
              <w:widowControl/>
              <w:spacing w:before="280" w:after="280"/>
              <w:jc w:val="both"/>
              <w:rPr>
                <w:rStyle w:val="Strong"/>
                <w:rFonts w:ascii="Trebuchet MS" w:hAnsi="Trebuchet MS" w:eastAsia="" w:eastAsiaTheme="majorEastAsia"/>
                <w:sz w:val="22"/>
                <w:szCs w:val="22"/>
              </w:rPr>
            </w:pPr>
            <w:r>
              <w:rPr>
                <w:rFonts w:eastAsia="" w:eastAsiaTheme="majorEastAsia" w:ascii="Trebuchet MS" w:hAnsi="Trebuchet MS"/>
                <w:sz w:val="22"/>
                <w:szCs w:val="22"/>
                <w:lang w:val="en-US" w:eastAsia="en-US" w:bidi="ar-SA"/>
              </w:rPr>
            </w:r>
          </w:p>
          <w:p>
            <w:pPr>
              <w:pStyle w:val="NormalWeb"/>
              <w:widowControl/>
              <w:spacing w:before="280" w:after="280"/>
              <w:jc w:val="both"/>
              <w:rPr>
                <w:rStyle w:val="Strong"/>
                <w:rFonts w:ascii="Trebuchet MS" w:hAnsi="Trebuchet MS" w:eastAsia="" w:eastAsiaTheme="majorEastAsia"/>
                <w:sz w:val="22"/>
                <w:szCs w:val="22"/>
              </w:rPr>
            </w:pPr>
            <w:r>
              <w:rPr>
                <w:rFonts w:eastAsia="" w:eastAsiaTheme="majorEastAsia"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3. Paragraful/fragmentul de referință este următorul:</w:t>
            </w:r>
            <w:r>
              <w:rPr>
                <w:rFonts w:ascii="Trebuchet MS" w:hAnsi="Trebuchet MS"/>
                <w:sz w:val="22"/>
                <w:szCs w:val="22"/>
                <w:lang w:val="en-US" w:eastAsia="en-US" w:bidi="ar-SA"/>
              </w:rPr>
              <w:br/>
              <w:t>„În vederea verificării rezonabilității costurilor, pentru justificarea bugetului este necesar să se prezinte lista surselor/ofertelor de preț pentru fiecare achiziție de bunuri/servicii. În cazul proiectelor care vizează lucrări va fi suficientă depunerea documentației tehnico-economice, ce conține deviz general și devize pe obiect, prin care proiectantul și implicit solicitantul (prin recepționarea serviciilor de proiectare) își asumă rezonabilitatea costurilor cuprinse în contractele de lucrări.”</w:t>
            </w:r>
          </w:p>
          <w:p>
            <w:pPr>
              <w:pStyle w:val="NormalWeb"/>
              <w:widowControl/>
              <w:spacing w:before="28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Întrebare:</w:t>
            </w:r>
            <w:r>
              <w:rPr>
                <w:rFonts w:ascii="Trebuchet MS" w:hAnsi="Trebuchet MS"/>
                <w:sz w:val="22"/>
                <w:szCs w:val="22"/>
                <w:lang w:val="en-US" w:eastAsia="en-US" w:bidi="ar-SA"/>
              </w:rPr>
              <w:br/>
              <w:t>Pentru fundamentarea costurilor bugetate câte oferte/surse trebuie prezentate?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cs="Calibri"/>
                <w:sz w:val="22"/>
                <w:szCs w:val="22"/>
              </w:rPr>
            </w:pPr>
            <w:r>
              <w:rPr>
                <w:rFonts w:cs="Calibri" w:ascii="Trebuchet MS" w:hAnsi="Trebuchet MS"/>
                <w:sz w:val="22"/>
                <w:szCs w:val="22"/>
                <w:lang w:val="en-US" w:eastAsia="en-US" w:bidi="ar-SA"/>
              </w:rPr>
              <w:t>4.Paragraful/fragmentul de referință este următorul:</w:t>
            </w:r>
          </w:p>
          <w:p>
            <w:pPr>
              <w:pStyle w:val="NormalWeb"/>
              <w:widowControl/>
              <w:spacing w:before="280" w:after="280"/>
              <w:jc w:val="both"/>
              <w:rPr>
                <w:rFonts w:ascii="Trebuchet MS" w:hAnsi="Trebuchet MS" w:cs="Calibri"/>
                <w:sz w:val="22"/>
                <w:szCs w:val="22"/>
              </w:rPr>
            </w:pPr>
            <w:r>
              <w:rPr>
                <w:rStyle w:val="Strong"/>
                <w:rFonts w:eastAsia="" w:ascii="Trebuchet MS" w:hAnsi="Trebuchet MS" w:eastAsiaTheme="majorEastAsia"/>
                <w:b w:val="false"/>
                <w:bCs w:val="false"/>
                <w:sz w:val="22"/>
                <w:szCs w:val="22"/>
                <w:lang w:val="en-US" w:eastAsia="en-US" w:bidi="ar-SA"/>
              </w:rPr>
              <w:t>Documentele vor fi însoțite de un tabel centralizator cu ofertele și valorile acestora.</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
              <w:widowControl/>
              <w:spacing w:lineRule="auto" w:line="240" w:before="0" w:after="0"/>
              <w:jc w:val="both"/>
              <w:rPr>
                <w:rFonts w:ascii="Trebuchet MS" w:hAnsi="Trebuchet MS" w:cs="Calibri"/>
                <w:sz w:val="22"/>
                <w:szCs w:val="22"/>
              </w:rPr>
            </w:pPr>
            <w:r>
              <w:rPr>
                <w:rFonts w:eastAsia="Aptos" w:cs="Calibri" w:ascii="Trebuchet MS" w:hAnsi="Trebuchet MS"/>
                <w:kern w:val="2"/>
                <w:sz w:val="22"/>
                <w:szCs w:val="22"/>
                <w:lang w:val="en-US" w:eastAsia="en-US" w:bidi="ar-SA"/>
              </w:rPr>
              <w:t>5.Paragraful/fragmentul de referință este următorul:</w:t>
            </w:r>
          </w:p>
          <w:p>
            <w:pPr>
              <w:pStyle w:val="Normal"/>
              <w:widowControl/>
              <w:spacing w:lineRule="auto" w:line="240" w:before="0" w:after="0"/>
              <w:jc w:val="both"/>
              <w:rPr>
                <w:rFonts w:ascii="Trebuchet MS" w:hAnsi="Trebuchet MS" w:cs="Calibri"/>
                <w:sz w:val="22"/>
                <w:szCs w:val="22"/>
              </w:rPr>
            </w:pPr>
            <w:r>
              <w:rPr>
                <w:rFonts w:eastAsia="Aptos" w:cs="Calibri" w:ascii="Trebuchet MS" w:hAnsi="Trebuchet MS"/>
                <w:kern w:val="2"/>
                <w:sz w:val="22"/>
                <w:szCs w:val="22"/>
                <w:lang w:val="en-US" w:eastAsia="en-US" w:bidi="ar-SA"/>
              </w:rPr>
              <w:t>„</w:t>
            </w:r>
            <w:r>
              <w:rPr>
                <w:rFonts w:eastAsia="Aptos" w:cs="Calibri" w:ascii="Trebuchet MS" w:hAnsi="Trebuchet MS"/>
                <w:kern w:val="2"/>
                <w:sz w:val="22"/>
                <w:szCs w:val="22"/>
                <w:lang w:val="en-US" w:eastAsia="en-US" w:bidi="ar-SA"/>
              </w:rPr>
              <w:t xml:space="preserve">În situația unei cereri de finanțare care presupune înființarea unui sediu secundar ca urmare a realizării proiectului, solicitantul se va angaja (prin Declarația unică) ca, până la prima plată a ajutorului, dar nu mai târziu de finalizarea implementării proiectului, să înregistreze locul de implementare ca sediu principal/secundar în zona vizată de apel. Dacă solicitantul are deja sediul/punctul de lucru înregistrat și autorizat în zona vizată de apel, dar la acea locație nu a desfășurat activitate economică, sunt eligibile doar proiectele de investiții care nu presupun doar achiziția de echipamente sau dotări. Astfel dacă la sediu/punctul de lucru nu s-a desfășurat activitate economică, acesta va fi tratat ca un punct de lucru nou, caz în care proiectul promovat trebuie să vizeze investiții în infrastructură.” </w:t>
            </w:r>
          </w:p>
          <w:p>
            <w:pPr>
              <w:pStyle w:val="Normal"/>
              <w:widowControl/>
              <w:spacing w:lineRule="auto" w:line="240" w:before="0" w:after="0"/>
              <w:jc w:val="both"/>
              <w:rPr>
                <w:rFonts w:ascii="Trebuchet MS" w:hAnsi="Trebuchet MS" w:cs="Calibri"/>
                <w:sz w:val="22"/>
                <w:szCs w:val="22"/>
              </w:rPr>
            </w:pPr>
            <w:r>
              <w:rPr>
                <w:rFonts w:eastAsia="Aptos" w:cs="Calibri" w:ascii="Trebuchet MS" w:hAnsi="Trebuchet MS"/>
                <w:kern w:val="2"/>
                <w:sz w:val="22"/>
                <w:szCs w:val="22"/>
                <w:lang w:val="en-US" w:eastAsia="en-US" w:bidi="ar-SA"/>
              </w:rPr>
            </w:r>
          </w:p>
          <w:p>
            <w:pPr>
              <w:pStyle w:val="Normal"/>
              <w:widowControl/>
              <w:spacing w:lineRule="auto" w:line="240" w:before="0" w:after="0"/>
              <w:jc w:val="both"/>
              <w:rPr>
                <w:rFonts w:ascii="Trebuchet MS" w:hAnsi="Trebuchet MS" w:cs="Calibri"/>
                <w:sz w:val="22"/>
                <w:szCs w:val="22"/>
              </w:rPr>
            </w:pPr>
            <w:r>
              <w:rPr>
                <w:rFonts w:eastAsia="Aptos" w:cs="Calibri" w:ascii="Trebuchet MS" w:hAnsi="Trebuchet MS"/>
                <w:kern w:val="2"/>
                <w:sz w:val="22"/>
                <w:szCs w:val="22"/>
                <w:lang w:val="en-US" w:eastAsia="en-US" w:bidi="ar-SA"/>
              </w:rPr>
              <w:t>Intrebare:</w:t>
            </w:r>
          </w:p>
          <w:p>
            <w:pPr>
              <w:pStyle w:val="NormalWeb"/>
              <w:widowControl/>
              <w:spacing w:before="280" w:after="280"/>
              <w:jc w:val="both"/>
              <w:rPr>
                <w:rFonts w:ascii="Trebuchet MS" w:hAnsi="Trebuchet MS" w:cs="Calibri"/>
                <w:sz w:val="22"/>
                <w:szCs w:val="22"/>
              </w:rPr>
            </w:pPr>
            <w:r>
              <w:rPr>
                <w:rFonts w:cs="Calibri" w:ascii="Trebuchet MS" w:hAnsi="Trebuchet MS"/>
                <w:sz w:val="22"/>
                <w:szCs w:val="22"/>
                <w:lang w:val="en-US" w:eastAsia="en-US" w:bidi="ar-SA"/>
              </w:rPr>
              <w:t>Având în vedere prevederile Ghidului Solicitantului menționate anterior, vă rugăm să precizați dacă este eligibilă o investiție care vizează exclusiv dotarea unui spațiu existent (fără investiții în infrastructură), în situația în care solicitantul nu a desfășurat anterior activitate economică la locația propusă pentru implementarea proiectului (indiferent dacă această locație este sau nu deja înregistrată și autorizată), însă a desfășurat activitate economică în altă locație din aceeași zonă vizată de apel (județ). In cazul in care este necesara desfasurarea activitatii la locatia de impelementare, există o perioadă minimă în care solicitantul trebuie să fi desfășurat activitate economică la locația respectivă pentru ca aceasta să nu fie tratată ca un punct de lucru nou? Ce documente sau dovezi sunt considerate valabile pentru a proba activitatea economică desfășurată la respectivul punct de lucru?</w:t>
            </w:r>
          </w:p>
          <w:p>
            <w:pPr>
              <w:pStyle w:val="NormalWeb"/>
              <w:widowControl/>
              <w:spacing w:before="280" w:after="280"/>
              <w:jc w:val="both"/>
              <w:rPr>
                <w:rFonts w:ascii="Trebuchet MS" w:hAnsi="Trebuchet MS" w:cs="Calibri"/>
                <w:sz w:val="22"/>
                <w:szCs w:val="22"/>
              </w:rPr>
            </w:pPr>
            <w:r>
              <w:rPr>
                <w:rFonts w:cs="Calibri" w:ascii="Trebuchet MS" w:hAnsi="Trebuchet MS"/>
                <w:sz w:val="22"/>
                <w:szCs w:val="22"/>
                <w:lang w:val="en-US" w:eastAsia="en-US" w:bidi="ar-SA"/>
              </w:rPr>
            </w:r>
          </w:p>
          <w:p>
            <w:pPr>
              <w:pStyle w:val="NormalWeb"/>
              <w:widowControl/>
              <w:spacing w:before="280" w:after="280"/>
              <w:jc w:val="both"/>
              <w:rPr>
                <w:rFonts w:ascii="Trebuchet MS" w:hAnsi="Trebuchet MS" w:cs="Calibri"/>
                <w:sz w:val="22"/>
                <w:szCs w:val="22"/>
              </w:rPr>
            </w:pPr>
            <w:r>
              <w:rPr>
                <w:rFonts w:cs="Calibri"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6.Pragraful/fragmente de referință este următorul:</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Dacă, împreună cu cererea de finanţare, se depune autorizaţia de construire valabilă la data depunerii cererii de finanţare, emisă pentru solicitant pentru obiectivul de investiţii vizat de cererea de finanţare, nu este necesară şi nu se solicită depunerea avizelor, acordurilor, certificatelor, autorizaţiilor sau a altor documente care au stat la baza emiterii acesteia.</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7.Paragraful/fragmentul de referință este următorul:</w:t>
            </w:r>
            <w:r>
              <w:rPr>
                <w:rFonts w:ascii="Trebuchet MS" w:hAnsi="Trebuchet MS"/>
                <w:sz w:val="22"/>
                <w:szCs w:val="22"/>
                <w:lang w:val="en-US" w:eastAsia="en-US" w:bidi="ar-SA"/>
              </w:rPr>
              <w:br/>
              <w:t>„Lucrările de modernizare pot fi considerate eligibile doar în măsura în care sunt aferente și intrinsec legate de investițiile propuse prin proiect, nu presupun doar îmbunătățirea parametrilor tehnici inițiali, ci implică modificări/îmbunătățiri substanțiale ale infrastructurii existente. Lucrările de modernizare nu se referă la simple lucrări de amenajare/reamenajare a spațiilor de producție/prestare de servicii existente ale întreprinderii.”</w:t>
            </w:r>
          </w:p>
          <w:p>
            <w:pPr>
              <w:pStyle w:val="NormalWeb"/>
              <w:widowControl/>
              <w:spacing w:before="28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Întrebare:</w:t>
            </w:r>
            <w:r>
              <w:rPr>
                <w:rFonts w:ascii="Trebuchet MS" w:hAnsi="Trebuchet MS"/>
                <w:sz w:val="22"/>
                <w:szCs w:val="22"/>
                <w:lang w:val="en-US" w:eastAsia="en-US" w:bidi="ar-SA"/>
              </w:rPr>
              <w:br/>
              <w:t>În cazul lucrărilor de modernizare, eligibilitatea este condiționată de faptul că lucrările propuse trebuie să fie supuse autorizării (ex.: să necesite autorizație de construire) sau pot fi eligibile și lucrări care nu necesită autorizație, dar sunt direct legate de investiția propusă?</w:t>
              <w:br/>
              <w:t>În cazul în care nu este obligatorie autorizarea, puteți oferi exemple de lucrări considerate eligibile care intră în categoria „modificări/îmbunătățiri substanțiale”?</w:t>
              <w:br/>
              <w:t>Se consideră eligibile lucrări de recompartimentare, consolidare sau extindere a spațiului existent?</w:t>
              <w:br/>
              <w:t>În cazul unui proiect care include extinderea unei clădiri existente (ex.: sală de evenimente) cu o terasă, este eligibilă și finanțarea unor investiții (lucrări de modernizare sau dotări precum mochetă, scenă, mese etc.) asupra întregii săli, dacă acestea sunt corelate cu funcționarea întregului spațiu, sau investiția trebuie să fie strict limitată la zona extinsă (terasa)?</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8.Paragraful/fragmentul de referință este următorul:</w:t>
            </w:r>
            <w:r>
              <w:rPr>
                <w:rFonts w:ascii="Trebuchet MS" w:hAnsi="Trebuchet MS"/>
                <w:sz w:val="22"/>
                <w:szCs w:val="22"/>
                <w:lang w:val="en-US" w:eastAsia="en-US" w:bidi="ar-SA"/>
              </w:rPr>
              <w:br/>
              <w:t>„Bunurile imobile care fac obiectul cererii de finanţare trebuie să îndeplinească, în mod cumulativ, nu mai târziu de semnarea contractului de finanţare, următoarele condiții:</w:t>
              <w:br/>
              <w:t>a) să fie libere de orice sarcini sau interdicții incompatibile cu realizarea activităţilor proiectului;</w:t>
              <w:br/>
              <w:t>b) să nu facă obiectul unor garanţii, cesionări şi nici a unei alte forme de sarcini care ar putea afecta dreptul invocat;</w:t>
              <w:br/>
              <w:t>c) să nu facă obiectul unor litigii având ca obiect dreptul invocat de către solicitant pentru realizarea proiectului, aflate în curs de soluţionare la instanţele judecătoreşti;</w:t>
              <w:br/>
              <w:t>d) să nu facă obiectul revendicărilor potrivit unor legi speciale în materie sau dreptului comun.”</w:t>
            </w:r>
          </w:p>
          <w:p>
            <w:pPr>
              <w:pStyle w:val="NormalWeb"/>
              <w:widowControl/>
              <w:spacing w:before="28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Întrebarea:</w:t>
            </w:r>
            <w:r>
              <w:rPr>
                <w:rFonts w:ascii="Trebuchet MS" w:hAnsi="Trebuchet MS"/>
                <w:sz w:val="22"/>
                <w:szCs w:val="22"/>
                <w:lang w:val="en-US" w:eastAsia="en-US" w:bidi="ar-SA"/>
              </w:rPr>
              <w:br/>
              <w:t>În cazul proiectelor de tip dotare, în care locația de implementare este deținută în baza unui contract de închiriere sau comodat, este obligatoriu ca imobilul respectiv să fie liber de sarcini? În cazul unui răspuns afirmativ, puteți specifica ce tipuri de sarcini sunt considerate incompatibile cu realizarea activităților proiectului?</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9.Paragraful/fragmentul de referință:</w:t>
            </w:r>
            <w:r>
              <w:rPr>
                <w:rFonts w:ascii="Trebuchet MS" w:hAnsi="Trebuchet MS"/>
                <w:sz w:val="22"/>
                <w:szCs w:val="22"/>
                <w:lang w:val="en-US" w:eastAsia="en-US" w:bidi="ar-SA"/>
              </w:rPr>
              <w:br/>
              <w:t>„Plafonul de minimis se aplică întreprinderii unice. Întreprinderea unică include toate întreprinderile între care există cel puțin una dintre relațiile următoare:</w:t>
              <w:br/>
              <w:t>a) o întreprindere deține majoritatea drepturilor de vot ale acționarilor sau ale asociaților unei alte întreprinderi;</w:t>
              <w:br/>
              <w:t>b) o întreprindere are dreptul de a numi sau revoca majoritatea membrilor organelor de administrare, de conducere sau de supraveghere ale unei alte întreprinderi;</w:t>
              <w:br/>
              <w:t>c) o întreprindere are dreptul de a exercita o influență dominantă asupra altei întreprinderi în temeiul unui contract încheiat cu întreprinderea în cauză sau în temeiul unei prevederi din actul constitutiv/statutul acesteia;</w:t>
              <w:br/>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pPr>
              <w:pStyle w:val="NormalWeb"/>
              <w:widowControl/>
              <w:spacing w:before="28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Întrebare:</w:t>
            </w:r>
            <w:r>
              <w:rPr>
                <w:rFonts w:ascii="Trebuchet MS" w:hAnsi="Trebuchet MS"/>
                <w:sz w:val="22"/>
                <w:szCs w:val="22"/>
                <w:lang w:val="en-US" w:eastAsia="en-US" w:bidi="ar-SA"/>
              </w:rPr>
              <w:br/>
              <w:t>În contextul aplicării plafonului de minimis prevăzut în Ghidul Solicitantului, vă rugăm să precizați explicit dacă, în analiza conceptului de „întreprindere unică”, se consideră ca fiind „întreprindere unică” două sau mai multe societăți distincte în care aceeași persoană fizică este prezentă ca asociat sau acționar, indiferent dacă aceasta deține sau nu controlul majoritar (respectiv majoritatea drepturilor de vot sau a părților sociale).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În mod concret, vă rugăm să ne clarificați următoarele aspecte distincte:</w:t>
            </w:r>
          </w:p>
          <w:p>
            <w:pPr>
              <w:pStyle w:val="NormalWeb"/>
              <w:widowControl/>
              <w:numPr>
                <w:ilvl w:val="0"/>
                <w:numId w:val="15"/>
              </w:numPr>
              <w:spacing w:before="280" w:after="0"/>
              <w:jc w:val="both"/>
              <w:rPr>
                <w:rFonts w:ascii="Trebuchet MS" w:hAnsi="Trebuchet MS"/>
                <w:sz w:val="22"/>
                <w:szCs w:val="22"/>
              </w:rPr>
            </w:pPr>
            <w:r>
              <w:rPr>
                <w:rFonts w:ascii="Trebuchet MS" w:hAnsi="Trebuchet MS"/>
                <w:sz w:val="22"/>
                <w:szCs w:val="22"/>
                <w:lang w:val="en-US" w:eastAsia="en-US" w:bidi="ar-SA"/>
              </w:rPr>
              <w:t>Dacă o persoană fizică este asociat majoritar (de exemplu, 70%) în mai multe societăți diferite, aceste societăți sunt considerate „întreprindere unică” și astfel se aplică un singur plafon de minimis (300.000 euro) cumulat tuturor, sau pot beneficia individual de 300.000 euro ajutor de minimis?</w:t>
            </w:r>
          </w:p>
          <w:p>
            <w:pPr>
              <w:pStyle w:val="NormalWeb"/>
              <w:widowControl/>
              <w:numPr>
                <w:ilvl w:val="0"/>
                <w:numId w:val="15"/>
              </w:numPr>
              <w:spacing w:before="0" w:after="280"/>
              <w:jc w:val="both"/>
              <w:rPr>
                <w:rFonts w:ascii="Trebuchet MS" w:hAnsi="Trebuchet MS"/>
                <w:sz w:val="22"/>
                <w:szCs w:val="22"/>
              </w:rPr>
            </w:pPr>
            <w:r>
              <w:rPr>
                <w:rFonts w:ascii="Trebuchet MS" w:hAnsi="Trebuchet MS"/>
                <w:sz w:val="22"/>
                <w:szCs w:val="22"/>
                <w:lang w:val="en-US" w:eastAsia="en-US" w:bidi="ar-SA"/>
              </w:rPr>
              <w:t>Dacă o persoană fizică este asociat minoritar (de exemplu, sub 50%) în mai multe societăți, fără să dețină controlul direct sau indirect al acestora, aceste societăți sunt considerate „întreprindere unică” și trebuie să respecte împreună un singur plafon de minimis, sau fiecare poate beneficia independent de plafonul propriu?</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Această solicitare de clarificare vine ca urmare a neclarității privind interpretarea termenului de „întreprindere” în contextul Ghidului Solicitantului, mai exact dacă o persoană fizică, în calitatea sa de asociat sau acționar într-o societate comercială (precum SRL), este considerată „persoană fizică ce desfășoară activitate economică”, sau dacă acest termen se referă exclusiv la alte forme juridice de organizare, precum Persoana Fizică Autorizată (PFA), Întreprinderea Individuală (II) ori alte entități similare.</w:t>
            </w:r>
          </w:p>
          <w:p>
            <w:pPr>
              <w:pStyle w:val="NormalWeb"/>
              <w:widowControl/>
              <w:spacing w:before="280" w:after="280"/>
              <w:jc w:val="both"/>
              <w:rPr>
                <w:rFonts w:ascii="Trebuchet MS" w:hAnsi="Trebuchet MS"/>
                <w:b/>
                <w:bCs/>
                <w:sz w:val="22"/>
                <w:szCs w:val="22"/>
              </w:rPr>
            </w:pPr>
            <w:r>
              <w:rPr>
                <w:rFonts w:ascii="Trebuchet MS" w:hAnsi="Trebuchet MS"/>
                <w:b/>
                <w:bCs/>
                <w:sz w:val="22"/>
                <w:szCs w:val="22"/>
                <w:lang w:val="en-US" w:eastAsia="en-US" w:bidi="ar-SA"/>
              </w:rPr>
            </w:r>
          </w:p>
          <w:p>
            <w:pPr>
              <w:pStyle w:val="NormalWeb"/>
              <w:widowControl/>
              <w:spacing w:before="280" w:after="280"/>
              <w:jc w:val="both"/>
              <w:rPr>
                <w:rFonts w:ascii="Trebuchet MS" w:hAnsi="Trebuchet MS"/>
                <w:b/>
                <w:bCs/>
                <w:sz w:val="22"/>
                <w:szCs w:val="22"/>
              </w:rPr>
            </w:pPr>
            <w:r>
              <w:rPr>
                <w:rFonts w:ascii="Trebuchet MS" w:hAnsi="Trebuchet MS"/>
                <w:b/>
                <w:bCs/>
                <w:sz w:val="22"/>
                <w:szCs w:val="22"/>
                <w:lang w:val="en-US" w:eastAsia="en-US" w:bidi="ar-SA"/>
              </w:rPr>
              <w:t>10.</w:t>
            </w:r>
            <w:r>
              <w:rPr>
                <w:rStyle w:val="Heading1Char"/>
                <w:rFonts w:ascii="Trebuchet MS" w:hAnsi="Trebuchet MS"/>
                <w:b/>
                <w:bCs/>
                <w:sz w:val="22"/>
                <w:szCs w:val="22"/>
                <w:lang w:val="en-US" w:eastAsia="en-US" w:bidi="ar-SA"/>
              </w:rPr>
              <w:t xml:space="preserve"> </w:t>
            </w:r>
            <w:r>
              <w:rPr>
                <w:rStyle w:val="Strong"/>
                <w:rFonts w:eastAsia="" w:ascii="Trebuchet MS" w:hAnsi="Trebuchet MS" w:eastAsiaTheme="majorEastAsia"/>
                <w:b w:val="false"/>
                <w:bCs w:val="false"/>
                <w:sz w:val="22"/>
                <w:szCs w:val="22"/>
                <w:lang w:val="en-US" w:eastAsia="en-US" w:bidi="ar-SA"/>
              </w:rPr>
              <w:t>Având în vedere Anexa 9a_9b – Grila ETF_MICRO, la subcriteriul A.4 privind crearea de noi locuri de muncă, vă rugăm să ne clarificați următoarele:</w:t>
            </w:r>
            <w:r>
              <w:rPr>
                <w:rFonts w:ascii="Trebuchet MS" w:hAnsi="Trebuchet MS"/>
                <w:b/>
                <w:bCs/>
                <w:sz w:val="22"/>
                <w:szCs w:val="22"/>
                <w:lang w:val="en-US" w:eastAsia="en-US" w:bidi="ar-SA"/>
              </w:rPr>
              <w:br/>
              <w:t xml:space="preserve">Dacă prin proiect se creează exact </w:t>
            </w:r>
            <w:r>
              <w:rPr>
                <w:rStyle w:val="Strong"/>
                <w:rFonts w:eastAsia="" w:ascii="Trebuchet MS" w:hAnsi="Trebuchet MS" w:eastAsiaTheme="majorEastAsia"/>
                <w:b w:val="false"/>
                <w:bCs w:val="false"/>
                <w:sz w:val="22"/>
                <w:szCs w:val="22"/>
                <w:lang w:val="en-US" w:eastAsia="en-US" w:bidi="ar-SA"/>
              </w:rPr>
              <w:t>3 locuri de muncă suplimentare</w:t>
            </w:r>
            <w:r>
              <w:rPr>
                <w:rFonts w:ascii="Trebuchet MS" w:hAnsi="Trebuchet MS"/>
                <w:b/>
                <w:bCs/>
                <w:sz w:val="22"/>
                <w:szCs w:val="22"/>
                <w:lang w:val="en-US" w:eastAsia="en-US" w:bidi="ar-SA"/>
              </w:rPr>
              <w:t xml:space="preserve"> față de minimul obligatoriu, se consideră că solicitantul se încadrează la </w:t>
            </w:r>
            <w:r>
              <w:rPr>
                <w:rStyle w:val="Strong"/>
                <w:rFonts w:eastAsia="" w:ascii="Trebuchet MS" w:hAnsi="Trebuchet MS" w:eastAsiaTheme="majorEastAsia"/>
                <w:b w:val="false"/>
                <w:bCs w:val="false"/>
                <w:sz w:val="22"/>
                <w:szCs w:val="22"/>
                <w:lang w:val="en-US" w:eastAsia="en-US" w:bidi="ar-SA"/>
              </w:rPr>
              <w:t>litera a) „≥3 locuri de muncă”</w:t>
            </w:r>
            <w:r>
              <w:rPr>
                <w:rFonts w:ascii="Trebuchet MS" w:hAnsi="Trebuchet MS"/>
                <w:b/>
                <w:bCs/>
                <w:sz w:val="22"/>
                <w:szCs w:val="22"/>
                <w:lang w:val="en-US" w:eastAsia="en-US" w:bidi="ar-SA"/>
              </w:rPr>
              <w:t xml:space="preserve"> (și obține punctajul maxim)? Sau se aplică </w:t>
            </w:r>
            <w:r>
              <w:rPr>
                <w:rStyle w:val="Strong"/>
                <w:rFonts w:eastAsia="" w:ascii="Trebuchet MS" w:hAnsi="Trebuchet MS" w:eastAsiaTheme="majorEastAsia"/>
                <w:b w:val="false"/>
                <w:bCs w:val="false"/>
                <w:sz w:val="22"/>
                <w:szCs w:val="22"/>
                <w:lang w:val="en-US" w:eastAsia="en-US" w:bidi="ar-SA"/>
              </w:rPr>
              <w:t>litera b) „&gt;2 locuri de muncă”</w:t>
            </w:r>
            <w:r>
              <w:rPr>
                <w:rFonts w:ascii="Trebuchet MS" w:hAnsi="Trebuchet MS"/>
                <w:b/>
                <w:bCs/>
                <w:sz w:val="22"/>
                <w:szCs w:val="22"/>
                <w:lang w:val="en-US" w:eastAsia="en-US" w:bidi="ar-SA"/>
              </w:rPr>
              <w:t>, având în vedere suprapunerea logică dintre cele două formulări?</w:t>
            </w:r>
          </w:p>
          <w:p>
            <w:pPr>
              <w:pStyle w:val="NormalWeb"/>
              <w:widowControl/>
              <w:spacing w:before="280" w:after="280"/>
              <w:jc w:val="both"/>
              <w:rPr>
                <w:rFonts w:ascii="Trebuchet MS" w:hAnsi="Trebuchet MS"/>
                <w:b/>
                <w:bCs/>
                <w:sz w:val="22"/>
                <w:szCs w:val="22"/>
              </w:rPr>
            </w:pPr>
            <w:r>
              <w:rPr>
                <w:rFonts w:ascii="Trebuchet MS" w:hAnsi="Trebuchet MS"/>
                <w:b/>
                <w:bCs/>
                <w:sz w:val="22"/>
                <w:szCs w:val="22"/>
                <w:lang w:val="en-US" w:eastAsia="en-US" w:bidi="ar-SA"/>
              </w:rPr>
            </w:r>
          </w:p>
          <w:p>
            <w:pPr>
              <w:pStyle w:val="NormalWeb"/>
              <w:widowControl/>
              <w:spacing w:before="280" w:after="280"/>
              <w:jc w:val="both"/>
              <w:rPr>
                <w:rFonts w:ascii="Trebuchet MS" w:hAnsi="Trebuchet MS"/>
                <w:b/>
                <w:bCs/>
                <w:sz w:val="22"/>
                <w:szCs w:val="22"/>
              </w:rPr>
            </w:pPr>
            <w:r>
              <w:rPr>
                <w:rFonts w:ascii="Trebuchet MS" w:hAnsi="Trebuchet MS"/>
                <w:b/>
                <w:bCs/>
                <w:sz w:val="22"/>
                <w:szCs w:val="22"/>
                <w:lang w:val="en-US" w:eastAsia="en-US" w:bidi="ar-SA"/>
              </w:rPr>
            </w:r>
          </w:p>
          <w:p>
            <w:pPr>
              <w:pStyle w:val="NormalWeb"/>
              <w:widowControl/>
              <w:spacing w:before="280" w:after="280"/>
              <w:jc w:val="both"/>
              <w:rPr>
                <w:rFonts w:ascii="Trebuchet MS" w:hAnsi="Trebuchet MS"/>
                <w:b/>
                <w:bCs/>
                <w:sz w:val="22"/>
                <w:szCs w:val="22"/>
              </w:rPr>
            </w:pPr>
            <w:r>
              <w:rPr>
                <w:rFonts w:ascii="Trebuchet MS" w:hAnsi="Trebuchet MS"/>
                <w:b/>
                <w:bCs/>
                <w:sz w:val="22"/>
                <w:szCs w:val="22"/>
                <w:lang w:val="en-US" w:eastAsia="en-US" w:bidi="ar-SA"/>
              </w:rPr>
            </w:r>
          </w:p>
          <w:p>
            <w:pPr>
              <w:pStyle w:val="NormalWeb"/>
              <w:widowControl/>
              <w:spacing w:before="280" w:after="280"/>
              <w:jc w:val="both"/>
              <w:rPr>
                <w:rFonts w:ascii="Trebuchet MS" w:hAnsi="Trebuchet MS"/>
                <w:b/>
                <w:bCs/>
                <w:sz w:val="22"/>
                <w:szCs w:val="22"/>
              </w:rPr>
            </w:pPr>
            <w:r>
              <w:rPr>
                <w:rFonts w:ascii="Trebuchet MS" w:hAnsi="Trebuchet MS"/>
                <w:b/>
                <w:bCs/>
                <w:sz w:val="22"/>
                <w:szCs w:val="22"/>
                <w:lang w:val="en-US" w:eastAsia="en-US" w:bidi="ar-SA"/>
              </w:rPr>
            </w:r>
          </w:p>
          <w:p>
            <w:pPr>
              <w:pStyle w:val="NormalWeb"/>
              <w:widowControl/>
              <w:spacing w:before="280" w:after="280"/>
              <w:jc w:val="both"/>
              <w:rPr>
                <w:rFonts w:ascii="Trebuchet MS" w:hAnsi="Trebuchet MS"/>
                <w:b/>
                <w:bCs/>
                <w:sz w:val="22"/>
                <w:szCs w:val="22"/>
              </w:rPr>
            </w:pPr>
            <w:r>
              <w:rPr>
                <w:rFonts w:ascii="Trebuchet MS" w:hAnsi="Trebuchet MS"/>
                <w:b/>
                <w:bCs/>
                <w:sz w:val="22"/>
                <w:szCs w:val="22"/>
                <w:lang w:val="en-US" w:eastAsia="en-US" w:bidi="ar-SA"/>
              </w:rPr>
              <w:t>11.</w:t>
            </w:r>
            <w:r>
              <w:rPr>
                <w:rFonts w:ascii="Trebuchet MS" w:hAnsi="Trebuchet MS"/>
                <w:sz w:val="22"/>
                <w:szCs w:val="22"/>
                <w:lang w:val="en-US" w:eastAsia="en-US" w:bidi="ar-SA"/>
              </w:rPr>
              <w:t xml:space="preserve"> În cazul proiectelor care prevăd achiziționarea unui kit complet de panouri fotovoltaice, vă rugăm să ne confirmați dacă sunt considerate cheltuieli eligibile și bateriile de stocare (acumulatorii) incluse în cadrul acestui sistem, având în vedere că acestea contribuie direct la funcționarea și eficiența energetică a investiției.</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12. În legătură cu subcriteriul D1.c din grila de evaluare, referitor la „măsuri pentru minimizarea la sursă a deșeurilor rezultate din activitățile de dezafectare/dezmembrare”, vă rugăm să ne precizați:</w:t>
              <w:br/>
              <w:t>Dacă se pot lua în considerare deșeurile rezultate din activitatea generală a companiei, inclusiv cele indirecte, cum ar fi deșeurile biodegradabile generate de angajați (ex. resturi alimentare), iar în acest context, utilizarea unui compostor alimentar pentru producerea de fertilizator poate fi considerată o măsură eligibilă în scopul acordării punctajului aferent acestui criteriu?</w:t>
              <w:br/>
              <w:t>· În cazul în care proiectul prevede contractarea unor servicii externe de colectare și/sau reciclare a deșeurilor, fie ele rezultate din fluxul tehnologic, fie din activitatea indirectă (ex. administrativă), acest tip de măsură se califică pentru acordarea punctajului corespunzător subcriteriului D1.c?</w:t>
              <w:br/>
              <w:t>· În cazul în care răspunsul este “Da.”, este necesară prezentarea unor precontracte încă de la depunerea proiectului sau este acceptată asumarea solicitantului în cadrul documentelor aferente proiectului?</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13.În contextul proiectelor care prevăd achiziția de echipamente sau utilaje electrice, vă rugăm să ne confirmați dacă este eligibilă, în cadrul aceluiași proiect, și achiziția unei stații de încărcare electrică, având în vedere caracterul indispensabil al acesteia pentru funcționarea echipamentelor achiziționate.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cs="Calibri"/>
                <w:sz w:val="22"/>
                <w:szCs w:val="22"/>
              </w:rPr>
            </w:pPr>
            <w:r>
              <w:rPr>
                <w:rFonts w:ascii="Trebuchet MS" w:hAnsi="Trebuchet MS"/>
                <w:sz w:val="22"/>
                <w:szCs w:val="22"/>
                <w:lang w:val="en-US" w:eastAsia="en-US" w:bidi="ar-SA"/>
              </w:rPr>
              <w:t>14.</w:t>
            </w:r>
            <w:r>
              <w:rPr>
                <w:rFonts w:cs="Calibri" w:ascii="Trebuchet MS" w:hAnsi="Trebuchet MS"/>
                <w:sz w:val="22"/>
                <w:szCs w:val="22"/>
                <w:lang w:val="en-US" w:eastAsia="en-US" w:bidi="ar-SA"/>
              </w:rPr>
              <w:t>Având în vedere prevederile subcriteriului A6 („Locurile de muncă propuse a fi create prin proiect sunt, prioritar, avute în vedere pentru:”) din Grila ETF, vă rugăm să precizați dacă un singur salariat propus a fi angajată în cadrul proiectului poate îndeplinini simultan două sau chiar toate cele trei categorii menționate în grilă.</w:t>
            </w:r>
          </w:p>
          <w:p>
            <w:pPr>
              <w:pStyle w:val="NormalWeb"/>
              <w:widowControl/>
              <w:spacing w:before="280" w:after="280"/>
              <w:jc w:val="both"/>
              <w:rPr>
                <w:rFonts w:ascii="Trebuchet MS" w:hAnsi="Trebuchet MS" w:cs="Calibri"/>
                <w:sz w:val="22"/>
                <w:szCs w:val="22"/>
              </w:rPr>
            </w:pPr>
            <w:r>
              <w:rPr>
                <w:rFonts w:cs="Calibri" w:ascii="Trebuchet MS" w:hAnsi="Trebuchet MS"/>
                <w:sz w:val="22"/>
                <w:szCs w:val="22"/>
                <w:lang w:val="en-US" w:eastAsia="en-US" w:bidi="ar-SA"/>
              </w:rPr>
            </w:r>
          </w:p>
          <w:p>
            <w:pPr>
              <w:pStyle w:val="NormalWeb"/>
              <w:widowControl/>
              <w:spacing w:before="280" w:after="280"/>
              <w:jc w:val="both"/>
              <w:rPr>
                <w:rFonts w:ascii="Trebuchet MS" w:hAnsi="Trebuchet MS" w:cs="Calibri"/>
                <w:sz w:val="22"/>
                <w:szCs w:val="22"/>
              </w:rPr>
            </w:pPr>
            <w:r>
              <w:rPr>
                <w:rFonts w:cs="Calibri" w:ascii="Trebuchet MS" w:hAnsi="Trebuchet MS"/>
                <w:sz w:val="22"/>
                <w:szCs w:val="22"/>
                <w:lang w:val="en-US" w:eastAsia="en-US" w:bidi="ar-SA"/>
              </w:rPr>
            </w:r>
          </w:p>
          <w:p>
            <w:pPr>
              <w:pStyle w:val="Normal"/>
              <w:widowControl/>
              <w:spacing w:lineRule="auto" w:line="240" w:before="0" w:after="0"/>
              <w:jc w:val="both"/>
              <w:rPr>
                <w:rFonts w:ascii="Trebuchet MS" w:hAnsi="Trebuchet MS"/>
                <w:sz w:val="22"/>
                <w:szCs w:val="22"/>
              </w:rPr>
            </w:pPr>
            <w:r>
              <w:rPr>
                <w:rFonts w:eastAsia="Aptos" w:cs="" w:ascii="Trebuchet MS" w:hAnsi="Trebuchet MS"/>
                <w:kern w:val="2"/>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15.Având în vedere subcriteriul A3 a) din grila ETF, vă rugăm să ne clarificați dacă, pentru demonstrarea îndeplinirii acestui criteriu, sunt acceptate oferte comerciale emise de către producători, însoțite de declarații pe propria răspundere ale acestora privind proveniența reciclabilă/reutilizată a produselor și de certificatul constatator care atestă existența codului CAEN relevant pentru producerea respectivelor bunuri. De asemenea, vă rugăm să ne precizați dacă aceste oferte pot fi generale sau trebuie adresate în mod explicit și individual solicitantului proiectului.</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16.În legătură cu subcriteriul D1.b din grila ETF, referitor la utilizarea sistemelor/instalațiilor/echipamentelor pentru optimizarea consumului energetic, vă rugăm să precizați dacă, în cadrul acestui subcriteriu, sunt eligibile achizițiile de pompe de căldură aer-aer și/sau de sisteme de climatizare de tip multisplit.</w:t>
            </w:r>
          </w:p>
        </w:tc>
        <w:tc>
          <w:tcPr>
            <w:tcW w:w="5113"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În conformitate cu prevederile Ghidului Solicitantului, Cap. 5 Condiții de eligibilitate: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-„criteriile de eligibilitate și de selecție care privesc aspecte legate de anul de referință al situațiilor fiscale se referă la anul fiscal anterior deschiderii apelului de proiecte. Criteriile din etapa de evaluare și proiecțiile financiare asociate proiectului vor avea în vedere situațiile financiare aferente anului fiscal anterior deschiderii apelului de proiecte. În situația în care pe parcursul procesului de evaluare, selecție, contractare se încheie un nou an fiscal, solicitantul are obligația menținerii criteriilor de eligibilitate în noul an fiscal (menținerea încadrării în categoria microîntreprinderilor, numărul minim obligatoriu de locuri de muncă, respectiv număr mediu începând de la 0 angajați, fără a lua în calcul funcția de administrator sau asociat, în categoria întreprinderilor în dificultate, existența profitului din exploatare &gt;0, nesuspendarea activității economice în anul fiscal respectiv, respectarea plafonului de minimis, alte criterii de eligibilitate), în caz contrar proiectul va fi declarat neeligibil. În această situație AM PTJ/OI poate solicita situațiile financiare aferente anului fiscal respectiv.</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Notă:</w:t>
              <w:br/>
              <w:t>Angajamentul solicitantului cu privire la numărul de locuri de muncă nou create se va actualiza, în etapa de contractare prin raportare la numărul mediu de salariați din anul anterior etapei respective, cu menținerea cuantumului inițial asumat privind numărul de locuri de muncă nou create. AM PTJ/OI poate solicita situațiile financiare aferente anului fiscal intervenit pe parcursul procesului de evaluare, selecție și contractare.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În cazul în care prin cererea de finanțare solicitantul se angajează să creeze mai mult de 1 loc de muncă și intervine un nou an fiscal pe parcursul procesului de evaluare, selecție și contractare, atunci în anul fiscal respectiv nr. mediu de salariați nu poate să fie mai mic cu 20% față de cel înregistrat în anul anterior deschiderii apelului de proiecte, în caz contrar proiectul devine neeligibil.</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Diminuarea numărului mediu de salariați cu procentul menționat se menține pe perioada de implementare a proiectului până la termenul limită de demonstrare a atingerii indicatorului conform Ghidului Solicitantului și contractului de finanțare, ulterior intervenind obligația menținerii locurilor de muncă nou create, pe perioada de durabilitate în condițiile contractului de finanțare.”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Style w:val="Strong"/>
                <w:rFonts w:ascii="Trebuchet MS" w:hAnsi="Trebuchet MS" w:eastAsia="" w:eastAsiaTheme="majorEastAsia"/>
                <w:sz w:val="22"/>
                <w:szCs w:val="22"/>
              </w:rPr>
            </w:pPr>
            <w:r>
              <w:rPr>
                <w:rFonts w:eastAsia="" w:eastAsiaTheme="majorEastAsia"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Conform Ghidului solicitantului, pagina 64:</w:t>
            </w:r>
            <w:r>
              <w:rPr>
                <w:rFonts w:ascii="Trebuchet MS" w:hAnsi="Trebuchet MS"/>
                <w:sz w:val="22"/>
                <w:szCs w:val="22"/>
                <w:lang w:val="en-US" w:eastAsia="en-US" w:bidi="ar-SA"/>
              </w:rPr>
              <w:br/>
              <w:t>Dacă împreună cu cererea de finanţare se depune autorizaţia de construire valabilă la data depunerii cererii de finanţare, emisă pentru solicitant pentru obiectivul de investiţii vizat de cererea de finanţare, nu este necesară şi nu se solicită depunerea avizelor, acordurilor, certificatelor, autorizaţiilor sau a altor documente care au stat la baza emiterii acesteia. Considerăm că ultima documentație tehnico-economică este DTAC-ul.</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Pentru proiectele de investiții pentru care nu este obligatorie obținerea autorizației de construire, documentațiile tehnico-economice care se depun împreună cu cererea de finanțare vor fi însoțite și de planuri de amplasament sau planuri de situații și alte documente prevăzute de legislația aplicabilă.</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Documente care atestă rezonabilitatea costurilor și justificarea celui mai bun raport între cuantumul sprijinului, activitățile desfășurate și îndeplinirea obiectivelor (conform cerințelor de la secțiunea 5.4.2 privind verificarea rezonabilității costurilor), însoțite de raport privind rezonabilitatea costurilor (Anexa 7 la prezentul ghid). În conformitate cu Anexa 7 trebuie prezentate minim 2 oferte/surse.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Style w:val="Strong"/>
                <w:rFonts w:ascii="Trebuchet MS" w:hAnsi="Trebuchet MS" w:eastAsia="" w:eastAsiaTheme="majorEastAsia"/>
                <w:sz w:val="22"/>
                <w:szCs w:val="22"/>
              </w:rPr>
            </w:pPr>
            <w:r>
              <w:rPr>
                <w:rFonts w:eastAsia="" w:eastAsiaTheme="majorEastAsia" w:ascii="Trebuchet MS" w:hAnsi="Trebuchet MS"/>
                <w:sz w:val="22"/>
                <w:szCs w:val="22"/>
                <w:lang w:val="en-US" w:eastAsia="en-US" w:bidi="ar-SA"/>
              </w:rPr>
            </w:r>
          </w:p>
          <w:p>
            <w:pPr>
              <w:pStyle w:val="NormalWeb"/>
              <w:widowControl/>
              <w:spacing w:before="280" w:after="280"/>
              <w:jc w:val="both"/>
              <w:rPr>
                <w:rStyle w:val="Strong"/>
                <w:rFonts w:ascii="Trebuchet MS" w:hAnsi="Trebuchet MS" w:eastAsia="" w:eastAsiaTheme="majorEastAsia"/>
                <w:sz w:val="22"/>
                <w:szCs w:val="22"/>
              </w:rPr>
            </w:pPr>
            <w:r>
              <w:rPr>
                <w:rFonts w:eastAsia="" w:eastAsiaTheme="majorEastAsia" w:ascii="Trebuchet MS" w:hAnsi="Trebuchet MS"/>
                <w:sz w:val="22"/>
                <w:szCs w:val="22"/>
                <w:lang w:val="en-US" w:eastAsia="en-US" w:bidi="ar-SA"/>
              </w:rPr>
            </w:r>
          </w:p>
          <w:p>
            <w:pPr>
              <w:pStyle w:val="NormalWeb"/>
              <w:widowControl/>
              <w:spacing w:before="280" w:after="280"/>
              <w:jc w:val="both"/>
              <w:rPr>
                <w:rStyle w:val="Strong"/>
                <w:rFonts w:ascii="Trebuchet MS" w:hAnsi="Trebuchet MS" w:eastAsia="" w:eastAsiaTheme="majorEastAsia"/>
                <w:b w:val="false"/>
                <w:bCs w:val="false"/>
                <w:sz w:val="22"/>
                <w:szCs w:val="22"/>
              </w:rPr>
            </w:pPr>
            <w:r>
              <w:rPr>
                <w:rFonts w:eastAsia="" w:eastAsiaTheme="majorEastAsia" w:ascii="Trebuchet MS" w:hAnsi="Trebuchet MS"/>
                <w:b w:val="false"/>
                <w:bCs w:val="false"/>
                <w:sz w:val="22"/>
                <w:szCs w:val="22"/>
                <w:lang w:val="en-US" w:eastAsia="en-US" w:bidi="ar-SA"/>
              </w:rPr>
            </w:r>
          </w:p>
          <w:p>
            <w:pPr>
              <w:pStyle w:val="NormalWeb"/>
              <w:widowControl/>
              <w:spacing w:before="280" w:after="280"/>
              <w:jc w:val="both"/>
              <w:rPr>
                <w:rStyle w:val="Strong"/>
                <w:rFonts w:ascii="Trebuchet MS" w:hAnsi="Trebuchet MS" w:eastAsia="" w:eastAsiaTheme="majorEastAsia"/>
                <w:b w:val="false"/>
                <w:bCs w:val="false"/>
                <w:sz w:val="22"/>
                <w:szCs w:val="22"/>
              </w:rPr>
            </w:pPr>
            <w:r>
              <w:rPr>
                <w:rStyle w:val="Strong"/>
                <w:rFonts w:eastAsia="" w:ascii="Trebuchet MS" w:hAnsi="Trebuchet MS" w:eastAsiaTheme="majorEastAsia"/>
                <w:b w:val="false"/>
                <w:bCs w:val="false"/>
                <w:sz w:val="22"/>
                <w:szCs w:val="22"/>
                <w:lang w:val="en-US" w:eastAsia="en-US" w:bidi="ar-SA"/>
              </w:rPr>
              <w:t>Documente care atestă rezonabilitatea costurilor și justificarea celui mai bun raport între cuantumul sprijinului, activitățile desfășurate și îndeplinirea obiectivelor (conform cerințelor de la secțiunea 5.4.2 privind verificarea rezonabilității costurilor), însoțite de raport privind rezonabilitatea costurilor (Anexa 7 la prezentul ghid). Tabelul centralizator este considerat un document distinct.”</w:t>
            </w:r>
          </w:p>
          <w:p>
            <w:pPr>
              <w:pStyle w:val="NormalWeb"/>
              <w:widowControl/>
              <w:spacing w:before="280" w:after="280"/>
              <w:jc w:val="both"/>
              <w:rPr>
                <w:rStyle w:val="Strong"/>
                <w:rFonts w:ascii="Trebuchet MS" w:hAnsi="Trebuchet MS" w:eastAsia="" w:eastAsiaTheme="majorEastAsia"/>
                <w:b w:val="false"/>
                <w:bCs w:val="false"/>
                <w:sz w:val="22"/>
                <w:szCs w:val="22"/>
              </w:rPr>
            </w:pPr>
            <w:r>
              <w:rPr>
                <w:rFonts w:eastAsia="" w:eastAsiaTheme="majorEastAsia" w:ascii="Trebuchet MS" w:hAnsi="Trebuchet MS"/>
                <w:b w:val="false"/>
                <w:bCs w:val="false"/>
                <w:sz w:val="22"/>
                <w:szCs w:val="22"/>
                <w:lang w:val="en-US" w:eastAsia="en-US" w:bidi="ar-SA"/>
              </w:rPr>
            </w:r>
          </w:p>
          <w:p>
            <w:pPr>
              <w:pStyle w:val="NormalWeb"/>
              <w:widowControl/>
              <w:spacing w:before="280" w:after="280"/>
              <w:jc w:val="both"/>
              <w:rPr>
                <w:rFonts w:ascii="Trebuchet MS" w:hAnsi="Trebuchet MS"/>
                <w:b/>
                <w:bCs/>
                <w:sz w:val="22"/>
                <w:szCs w:val="22"/>
              </w:rPr>
            </w:pPr>
            <w:r>
              <w:rPr>
                <w:rFonts w:ascii="Trebuchet MS" w:hAnsi="Trebuchet MS"/>
                <w:b/>
                <w:bC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Documente care atestă rezonabilitatea costurilor și justificarea celui mai bun raport între cuantumul sprijinului, activitățile desfășurate și îndeplinirea obiectivelor (conform cerințelor de la secțiunea 5.4.2 privind verificarea rezonabilității costurilor), însoțite de raport privind rezonabilitatea costurilor (Anexa 7 la prezentul ghid). În conformitate cu Anexa 7 trebuie prezentate minim 2 oferte/surse.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 xml:space="preserve">Documentele necesare pentru a demonstra că solicitantul a desfășurat/nu a desfășurat activitate economică la punctul de lucru vizat de investiție sunt </w:t>
            </w:r>
            <w:r>
              <w:rPr>
                <w:rStyle w:val="Strong"/>
                <w:rFonts w:eastAsia="" w:ascii="Trebuchet MS" w:hAnsi="Trebuchet MS" w:eastAsiaTheme="majorEastAsia"/>
                <w:sz w:val="22"/>
                <w:szCs w:val="22"/>
                <w:lang w:val="en-US" w:eastAsia="en-US" w:bidi="ar-SA"/>
              </w:rPr>
              <w:t>Certificatul constatator și/sau Rezoluție din partea ONRC</w:t>
            </w:r>
            <w:r>
              <w:rPr>
                <w:rFonts w:ascii="Trebuchet MS" w:hAnsi="Trebuchet MS"/>
                <w:sz w:val="22"/>
                <w:szCs w:val="22"/>
                <w:lang w:val="en-US" w:eastAsia="en-US" w:bidi="ar-SA"/>
              </w:rPr>
              <w:t>.</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În situația unei cereri de finanțare care presupune înființarea unui sediu secundar ca urmare a realizării proiectului, solicitantul se va angaja (prin Declarația unică) ca, până la prima plată a ajutorului, dar nu mai târziu de finalizarea implementării proiectului, să înregistreze locul de implementare ca sediu principal/secundar în zona vizată de apel. Dacă solicitantul are deja sediul/punctul de lucru înregistrat și autorizat în zona vizată de apel, dar la acea locație nu a desfășurat activitate economică, sunt eligibile doar proiectele de investiții care nu presupun doar achiziția de echipamente sau dotări. Astfel, dacă la sediu/punctul de lucru nu s-a desfășurat activitate economică, acesta va fi tratat ca un punct de lucru nou, caz în care proiectul promovat trebuie să vizeze investiții în infrastructură.</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Conform Ghidului solicitantului, Cap. 7.4 Anexe și documente obligatorii la depunerea cererii (pagina 64):</w:t>
              <w:br/>
              <w:t>„Dacă, împreună cu cererea de finanţare, se depune autorizaţia de construire valabilă la data depunerii cererii de finanţare, emisă pentru solicitant pentru obiectivul de investiţii vizat de cererea de finanţare, nu este necesară şi nu se solicită depunerea avizelor, acordurilor, certificatelor, autorizaţiilor sau a altor documente care au stat la baza emiterii acesteia.”</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Sunt considerate investiții în infrastructură acele lucrări pentru care este necesară emiterea Autorizației de construire conform Legii nr. 50/1991, republicată, cu modificările și completările ulterioare.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Lucrările de modernizare pot fi considerate eligibile doar în măsura în care sunt aferente și intrinsec legate de investițiile propuse prin proiect, nu presupun doar îmbunătățirea parametrilor tehnici inițiali, ci implică modificări/îmbunătățiri substanțiale ale infrastructurii existente.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Da. Solicitantul va avea în vedere ca imobilul (teren și/sau clădiri) să nu facă obiectul unor litigii având ca obiect dreptul invocat de către solicitant pentru realizarea proiectului, aflate în curs de soluţionare la instanţele judecătoreşti și să nu facă obiectul revendicărilor potrivit unor legi speciale în materie sau dreptului comun.</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Garanțiile reale asupra imobilelor (ex. ipotecă) sunt, în accepțiunea prezentului ghid, incompatibile cu realizarea proiectelor de investiții în cadrul PTJ.</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Pentru proiectele de investiții pentru care nu este necesară autorizația de construire, aflate în perioada de implementare, respectiv în perioada în care este asigurat caracterul durabil al proiectului, în condiţiile art. 65 din Regulamentul (UE) 2021/1060, cu modificările şi completările ulterioare, nu pot fi stabilite limite ale dreptului invocat care să fie incompatibile cu realizarea activităților proiectului, pentru bunurile imobile care fac obiectul cererii de finanțare şi/sau bunurile imobile care constituie locaţia/locaţiile de implementare a proiectului.</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
              <w:widowControl/>
              <w:spacing w:lineRule="auto" w:line="240" w:before="0" w:after="0"/>
              <w:jc w:val="both"/>
              <w:rPr>
                <w:rFonts w:ascii="Trebuchet MS" w:hAnsi="Trebuchet MS" w:cs="Calibri"/>
                <w:sz w:val="22"/>
                <w:szCs w:val="22"/>
              </w:rPr>
            </w:pPr>
            <w:r>
              <w:rPr>
                <w:rFonts w:eastAsia="Aptos" w:cs="Calibri" w:ascii="Trebuchet MS" w:hAnsi="Trebuchet MS"/>
                <w:kern w:val="2"/>
                <w:sz w:val="22"/>
                <w:szCs w:val="22"/>
                <w:lang w:val="en-US" w:eastAsia="en-US" w:bidi="ar-SA"/>
              </w:rPr>
            </w:r>
          </w:p>
          <w:p>
            <w:pPr>
              <w:pStyle w:val="Normal"/>
              <w:widowControl/>
              <w:spacing w:lineRule="auto" w:line="240" w:before="0" w:after="0"/>
              <w:jc w:val="both"/>
              <w:rPr>
                <w:rFonts w:ascii="Trebuchet MS" w:hAnsi="Trebuchet MS" w:cs="Calibri"/>
                <w:sz w:val="22"/>
                <w:szCs w:val="22"/>
              </w:rPr>
            </w:pPr>
            <w:r>
              <w:rPr>
                <w:rFonts w:eastAsia="Aptos" w:cs="Calibri" w:ascii="Trebuchet MS" w:hAnsi="Trebuchet MS"/>
                <w:kern w:val="2"/>
                <w:sz w:val="22"/>
                <w:szCs w:val="22"/>
                <w:lang w:val="en-US" w:eastAsia="en-US" w:bidi="ar-SA"/>
              </w:rPr>
              <w:t>Intreprinderea unică include toate întreprinderile între care există cel puţin una dintre relaţiile următoare:</w:t>
            </w:r>
          </w:p>
          <w:p>
            <w:pPr>
              <w:pStyle w:val="Normal"/>
              <w:widowControl/>
              <w:spacing w:lineRule="auto" w:line="240" w:before="0" w:after="0"/>
              <w:jc w:val="both"/>
              <w:rPr>
                <w:rFonts w:ascii="Trebuchet MS" w:hAnsi="Trebuchet MS" w:cs="Calibri"/>
                <w:sz w:val="22"/>
                <w:szCs w:val="22"/>
              </w:rPr>
            </w:pPr>
            <w:r>
              <w:rPr>
                <w:rFonts w:eastAsia="Aptos" w:cs="Calibri" w:ascii="Trebuchet MS" w:hAnsi="Trebuchet MS"/>
                <w:kern w:val="2"/>
                <w:sz w:val="22"/>
                <w:szCs w:val="22"/>
                <w:lang w:val="en-US" w:eastAsia="en-US" w:bidi="ar-SA"/>
              </w:rPr>
              <w:t>a) o întreprindere deţine majoritatea drepturilor de vot ale acţionarilor sau ale asociaţilor unei alte întreprinderi;</w:t>
            </w:r>
          </w:p>
          <w:p>
            <w:pPr>
              <w:pStyle w:val="Normal"/>
              <w:widowControl/>
              <w:spacing w:lineRule="auto" w:line="240" w:before="0" w:after="0"/>
              <w:jc w:val="both"/>
              <w:rPr>
                <w:rFonts w:ascii="Trebuchet MS" w:hAnsi="Trebuchet MS" w:cs="Calibri"/>
                <w:sz w:val="22"/>
                <w:szCs w:val="22"/>
              </w:rPr>
            </w:pPr>
            <w:r>
              <w:rPr>
                <w:rFonts w:eastAsia="Aptos" w:cs="Calibri" w:ascii="Trebuchet MS" w:hAnsi="Trebuchet MS"/>
                <w:kern w:val="2"/>
                <w:sz w:val="22"/>
                <w:szCs w:val="22"/>
                <w:lang w:val="en-US" w:eastAsia="en-US" w:bidi="ar-SA"/>
              </w:rPr>
              <w:t>b) o întreprindere are dreptul de a numi sau revoca majoritatea membrilor organelor de administrare, de conducere sau de supraveghere ale unei alte întreprinderi;</w:t>
            </w:r>
          </w:p>
          <w:p>
            <w:pPr>
              <w:pStyle w:val="Normal"/>
              <w:widowControl/>
              <w:spacing w:lineRule="auto" w:line="240" w:before="0" w:after="0"/>
              <w:jc w:val="both"/>
              <w:rPr>
                <w:rFonts w:ascii="Trebuchet MS" w:hAnsi="Trebuchet MS" w:cs="Calibri"/>
                <w:sz w:val="22"/>
                <w:szCs w:val="22"/>
              </w:rPr>
            </w:pPr>
            <w:r>
              <w:rPr>
                <w:rFonts w:eastAsia="Aptos" w:cs="Calibri" w:ascii="Trebuchet MS" w:hAnsi="Trebuchet MS"/>
                <w:kern w:val="2"/>
                <w:sz w:val="22"/>
                <w:szCs w:val="22"/>
                <w:lang w:val="en-US" w:eastAsia="en-US" w:bidi="ar-SA"/>
              </w:rPr>
              <w:t>c) o întreprindere are dreptul de a exercita o influenţă dominantă asupra altei întreprinderi în temeiul unui contract încheiat cu întreprinderea în cauză sau în temeiul unei prevederi din actul constitutiv sau din statutul acesteia;</w:t>
            </w:r>
          </w:p>
          <w:p>
            <w:pPr>
              <w:pStyle w:val="Normal"/>
              <w:widowControl/>
              <w:spacing w:lineRule="auto" w:line="240" w:before="0" w:after="0"/>
              <w:jc w:val="both"/>
              <w:rPr>
                <w:rFonts w:ascii="Trebuchet MS" w:hAnsi="Trebuchet MS" w:cs="Calibri"/>
                <w:sz w:val="22"/>
                <w:szCs w:val="22"/>
              </w:rPr>
            </w:pPr>
            <w:r>
              <w:rPr>
                <w:rFonts w:eastAsia="Aptos" w:cs="Calibri" w:ascii="Trebuchet MS" w:hAnsi="Trebuchet MS"/>
                <w:kern w:val="2"/>
                <w:sz w:val="22"/>
                <w:szCs w:val="22"/>
                <w:lang w:val="en-US" w:eastAsia="en-US" w:bidi="ar-SA"/>
              </w:rPr>
              <w:t>d) o întreprindere care este acţionar sau asociat al unei alte întreprinderi şi care controlează singură, în baza unui acord cu alţi acţionari sau asociaţi ai acelei întreprinderi, majoritatea drepturilor de vot ale acţionarilor sau ale asociaţilor întreprinderii respective.</w:t>
            </w:r>
          </w:p>
          <w:p>
            <w:pPr>
              <w:pStyle w:val="Normal"/>
              <w:widowControl/>
              <w:spacing w:lineRule="auto" w:line="240" w:before="0" w:after="0"/>
              <w:jc w:val="both"/>
              <w:rPr>
                <w:rFonts w:ascii="Trebuchet MS" w:hAnsi="Trebuchet MS" w:cs="Calibri"/>
                <w:sz w:val="22"/>
                <w:szCs w:val="22"/>
              </w:rPr>
            </w:pPr>
            <w:r>
              <w:rPr>
                <w:rFonts w:eastAsia="Aptos" w:cs="Calibri" w:ascii="Trebuchet MS" w:hAnsi="Trebuchet MS"/>
                <w:kern w:val="2"/>
                <w:sz w:val="22"/>
                <w:szCs w:val="22"/>
                <w:lang w:val="en-US" w:eastAsia="en-US" w:bidi="ar-SA"/>
              </w:rPr>
              <w:t>Întreprinderile care întreţin, prin intermediul uneia sau al mai multor întreprinderi, relaţiile la care se face referire la lit. a)-d) sunt considerate întreprinderi unice.</w:t>
            </w:r>
          </w:p>
          <w:p>
            <w:pPr>
              <w:pStyle w:val="Normal"/>
              <w:widowControl/>
              <w:spacing w:lineRule="auto" w:line="240" w:before="0" w:after="0"/>
              <w:jc w:val="both"/>
              <w:rPr>
                <w:rFonts w:ascii="Trebuchet MS" w:hAnsi="Trebuchet MS" w:cs="Calibri"/>
                <w:sz w:val="22"/>
                <w:szCs w:val="22"/>
              </w:rPr>
            </w:pPr>
            <w:r>
              <w:rPr>
                <w:rFonts w:eastAsia="Aptos" w:cs="Calibri" w:ascii="Trebuchet MS" w:hAnsi="Trebuchet MS"/>
                <w:kern w:val="2"/>
                <w:sz w:val="22"/>
                <w:szCs w:val="22"/>
                <w:lang w:val="en-US" w:eastAsia="en-US" w:bidi="ar-SA"/>
              </w:rPr>
              <w:t>Plafonul de minimis se aplică întreprinderii unice.</w:t>
            </w:r>
          </w:p>
          <w:p>
            <w:pPr>
              <w:pStyle w:val="NormalWeb"/>
              <w:widowControl/>
              <w:spacing w:before="280" w:after="280"/>
              <w:jc w:val="both"/>
              <w:rPr>
                <w:rFonts w:ascii="Trebuchet MS" w:hAnsi="Trebuchet MS" w:cs="Calibri"/>
                <w:sz w:val="22"/>
                <w:szCs w:val="22"/>
              </w:rPr>
            </w:pPr>
            <w:r>
              <w:rPr>
                <w:rFonts w:cs="Calibri" w:ascii="Trebuchet MS" w:hAnsi="Trebuchet MS"/>
                <w:sz w:val="22"/>
                <w:szCs w:val="22"/>
                <w:lang w:val="en-US" w:eastAsia="en-US" w:bidi="ar-SA"/>
              </w:rPr>
              <w:t>Întreprinderea este orice entitate care desfășoară o activitate economică, indiferent de statutul său juridic și de modul în care este finanțată sau de existența unui scop lucrativ;</w:t>
            </w:r>
          </w:p>
          <w:p>
            <w:pPr>
              <w:pStyle w:val="NormalWeb"/>
              <w:widowControl/>
              <w:spacing w:before="280" w:after="280"/>
              <w:jc w:val="both"/>
              <w:rPr>
                <w:rFonts w:ascii="Trebuchet MS" w:hAnsi="Trebuchet MS" w:cs="Calibri"/>
                <w:sz w:val="22"/>
                <w:szCs w:val="22"/>
              </w:rPr>
            </w:pPr>
            <w:r>
              <w:rPr>
                <w:rFonts w:cs="Calibri" w:ascii="Trebuchet MS" w:hAnsi="Trebuchet MS"/>
                <w:sz w:val="22"/>
                <w:szCs w:val="22"/>
                <w:lang w:val="en-US" w:eastAsia="en-US" w:bidi="ar-SA"/>
              </w:rPr>
            </w:r>
          </w:p>
          <w:p>
            <w:pPr>
              <w:pStyle w:val="NormalWeb"/>
              <w:widowControl/>
              <w:spacing w:before="280" w:after="280"/>
              <w:jc w:val="both"/>
              <w:rPr>
                <w:rFonts w:ascii="Trebuchet MS" w:hAnsi="Trebuchet MS" w:cs="Calibri"/>
                <w:sz w:val="22"/>
                <w:szCs w:val="22"/>
              </w:rPr>
            </w:pPr>
            <w:r>
              <w:rPr>
                <w:rFonts w:cs="Calibri" w:ascii="Trebuchet MS" w:hAnsi="Trebuchet MS"/>
                <w:sz w:val="22"/>
                <w:szCs w:val="22"/>
                <w:lang w:val="en-US" w:eastAsia="en-US" w:bidi="ar-SA"/>
              </w:rPr>
            </w:r>
          </w:p>
          <w:p>
            <w:pPr>
              <w:pStyle w:val="NormalWeb"/>
              <w:widowControl/>
              <w:spacing w:before="280" w:after="280"/>
              <w:jc w:val="both"/>
              <w:rPr>
                <w:rFonts w:ascii="Trebuchet MS" w:hAnsi="Trebuchet MS" w:cs="Calibri"/>
                <w:sz w:val="22"/>
                <w:szCs w:val="22"/>
              </w:rPr>
            </w:pPr>
            <w:r>
              <w:rPr>
                <w:rFonts w:cs="Calibri" w:ascii="Trebuchet MS" w:hAnsi="Trebuchet MS"/>
                <w:sz w:val="22"/>
                <w:szCs w:val="22"/>
                <w:lang w:val="en-US" w:eastAsia="en-US" w:bidi="ar-SA"/>
              </w:rPr>
            </w:r>
          </w:p>
          <w:p>
            <w:pPr>
              <w:pStyle w:val="NormalWeb"/>
              <w:widowControl/>
              <w:spacing w:before="280" w:after="280"/>
              <w:jc w:val="both"/>
              <w:rPr>
                <w:rFonts w:ascii="Trebuchet MS" w:hAnsi="Trebuchet MS" w:cs="Calibri"/>
                <w:sz w:val="22"/>
                <w:szCs w:val="22"/>
              </w:rPr>
            </w:pPr>
            <w:r>
              <w:rPr>
                <w:rFonts w:cs="Calibri" w:ascii="Trebuchet MS" w:hAnsi="Trebuchet MS"/>
                <w:sz w:val="22"/>
                <w:szCs w:val="22"/>
                <w:lang w:val="en-US" w:eastAsia="en-US" w:bidi="ar-SA"/>
              </w:rPr>
            </w:r>
          </w:p>
          <w:p>
            <w:pPr>
              <w:pStyle w:val="NormalWeb"/>
              <w:widowControl/>
              <w:spacing w:before="280" w:after="280"/>
              <w:jc w:val="both"/>
              <w:rPr>
                <w:rFonts w:ascii="Trebuchet MS" w:hAnsi="Trebuchet MS" w:cs="Calibri"/>
                <w:sz w:val="22"/>
                <w:szCs w:val="22"/>
              </w:rPr>
            </w:pPr>
            <w:r>
              <w:rPr>
                <w:rFonts w:cs="Calibri" w:ascii="Trebuchet MS" w:hAnsi="Trebuchet MS"/>
                <w:sz w:val="22"/>
                <w:szCs w:val="22"/>
                <w:lang w:val="en-US" w:eastAsia="en-US" w:bidi="ar-SA"/>
              </w:rPr>
            </w:r>
          </w:p>
          <w:p>
            <w:pPr>
              <w:pStyle w:val="NormalWeb"/>
              <w:widowControl/>
              <w:spacing w:before="280" w:after="280"/>
              <w:jc w:val="both"/>
              <w:rPr>
                <w:rFonts w:ascii="Trebuchet MS" w:hAnsi="Trebuchet MS" w:cs="Calibri"/>
                <w:sz w:val="22"/>
                <w:szCs w:val="22"/>
              </w:rPr>
            </w:pPr>
            <w:r>
              <w:rPr>
                <w:rFonts w:cs="Calibri" w:ascii="Trebuchet MS" w:hAnsi="Trebuchet MS"/>
                <w:sz w:val="22"/>
                <w:szCs w:val="22"/>
                <w:lang w:val="en-US" w:eastAsia="en-US" w:bidi="ar-SA"/>
              </w:rPr>
            </w:r>
          </w:p>
          <w:p>
            <w:pPr>
              <w:pStyle w:val="NormalWeb"/>
              <w:widowControl/>
              <w:spacing w:before="280" w:after="280"/>
              <w:jc w:val="both"/>
              <w:rPr>
                <w:rFonts w:ascii="Trebuchet MS" w:hAnsi="Trebuchet MS" w:cs="Calibri"/>
                <w:sz w:val="22"/>
                <w:szCs w:val="22"/>
              </w:rPr>
            </w:pPr>
            <w:r>
              <w:rPr>
                <w:rFonts w:cs="Calibri" w:ascii="Trebuchet MS" w:hAnsi="Trebuchet MS"/>
                <w:sz w:val="22"/>
                <w:szCs w:val="22"/>
                <w:lang w:val="en-US" w:eastAsia="en-US" w:bidi="ar-SA"/>
              </w:rPr>
            </w:r>
          </w:p>
          <w:p>
            <w:pPr>
              <w:pStyle w:val="NormalWeb"/>
              <w:widowControl/>
              <w:spacing w:before="280" w:after="280"/>
              <w:jc w:val="both"/>
              <w:rPr>
                <w:rFonts w:ascii="Trebuchet MS" w:hAnsi="Trebuchet MS" w:cs="Calibri"/>
                <w:sz w:val="22"/>
                <w:szCs w:val="22"/>
              </w:rPr>
            </w:pPr>
            <w:r>
              <w:rPr>
                <w:rFonts w:cs="Calibri" w:ascii="Trebuchet MS" w:hAnsi="Trebuchet MS"/>
                <w:sz w:val="22"/>
                <w:szCs w:val="22"/>
                <w:lang w:val="en-US" w:eastAsia="en-US" w:bidi="ar-SA"/>
              </w:rPr>
            </w:r>
          </w:p>
          <w:p>
            <w:pPr>
              <w:pStyle w:val="NormalWeb"/>
              <w:widowControl/>
              <w:spacing w:before="280" w:after="280"/>
              <w:jc w:val="both"/>
              <w:rPr>
                <w:rFonts w:ascii="Trebuchet MS" w:hAnsi="Trebuchet MS" w:cs="Calibri"/>
                <w:sz w:val="22"/>
                <w:szCs w:val="22"/>
              </w:rPr>
            </w:pPr>
            <w:r>
              <w:rPr>
                <w:rFonts w:cs="Calibri" w:ascii="Trebuchet MS" w:hAnsi="Trebuchet MS"/>
                <w:sz w:val="22"/>
                <w:szCs w:val="22"/>
                <w:lang w:val="en-US" w:eastAsia="en-US" w:bidi="ar-SA"/>
              </w:rPr>
            </w:r>
          </w:p>
          <w:p>
            <w:pPr>
              <w:pStyle w:val="NormalWeb"/>
              <w:widowControl/>
              <w:spacing w:before="280" w:after="280"/>
              <w:jc w:val="both"/>
              <w:rPr>
                <w:rFonts w:ascii="Trebuchet MS" w:hAnsi="Trebuchet MS" w:cs="Calibri"/>
                <w:sz w:val="22"/>
                <w:szCs w:val="22"/>
              </w:rPr>
            </w:pPr>
            <w:r>
              <w:rPr>
                <w:rFonts w:cs="Calibri" w:ascii="Trebuchet MS" w:hAnsi="Trebuchet MS"/>
                <w:sz w:val="22"/>
                <w:szCs w:val="22"/>
                <w:lang w:val="en-US" w:eastAsia="en-US" w:bidi="ar-SA"/>
              </w:rPr>
            </w:r>
          </w:p>
          <w:p>
            <w:pPr>
              <w:pStyle w:val="NormalWeb"/>
              <w:widowControl/>
              <w:spacing w:before="280" w:after="280"/>
              <w:jc w:val="both"/>
              <w:rPr>
                <w:rFonts w:ascii="Trebuchet MS" w:hAnsi="Trebuchet MS" w:cs="Calibri"/>
                <w:sz w:val="22"/>
                <w:szCs w:val="22"/>
              </w:rPr>
            </w:pPr>
            <w:r>
              <w:rPr>
                <w:rFonts w:cs="Calibri" w:ascii="Trebuchet MS" w:hAnsi="Trebuchet MS"/>
                <w:sz w:val="22"/>
                <w:szCs w:val="22"/>
                <w:lang w:val="en-US" w:eastAsia="en-US" w:bidi="ar-SA"/>
              </w:rPr>
            </w:r>
          </w:p>
          <w:p>
            <w:pPr>
              <w:pStyle w:val="NormalWeb"/>
              <w:widowControl/>
              <w:spacing w:before="280" w:after="280"/>
              <w:jc w:val="both"/>
              <w:rPr>
                <w:rFonts w:ascii="Trebuchet MS" w:hAnsi="Trebuchet MS" w:cs="Calibri"/>
                <w:sz w:val="22"/>
                <w:szCs w:val="22"/>
              </w:rPr>
            </w:pPr>
            <w:r>
              <w:rPr>
                <w:rFonts w:cs="Calibri" w:ascii="Trebuchet MS" w:hAnsi="Trebuchet MS"/>
                <w:sz w:val="22"/>
                <w:szCs w:val="22"/>
                <w:lang w:val="en-US" w:eastAsia="en-US" w:bidi="ar-SA"/>
              </w:rPr>
            </w:r>
          </w:p>
          <w:p>
            <w:pPr>
              <w:pStyle w:val="NormalWeb"/>
              <w:widowControl/>
              <w:spacing w:before="280" w:after="280"/>
              <w:jc w:val="both"/>
              <w:rPr>
                <w:rFonts w:ascii="Trebuchet MS" w:hAnsi="Trebuchet MS" w:cs="Calibri"/>
                <w:sz w:val="22"/>
                <w:szCs w:val="22"/>
              </w:rPr>
            </w:pPr>
            <w:r>
              <w:rPr>
                <w:rFonts w:cs="Calibri" w:ascii="Trebuchet MS" w:hAnsi="Trebuchet MS"/>
                <w:sz w:val="22"/>
                <w:szCs w:val="22"/>
                <w:lang w:val="en-US" w:eastAsia="en-US" w:bidi="ar-SA"/>
              </w:rPr>
            </w:r>
          </w:p>
          <w:p>
            <w:pPr>
              <w:pStyle w:val="NormalWeb"/>
              <w:widowControl/>
              <w:spacing w:before="280" w:after="280"/>
              <w:jc w:val="both"/>
              <w:rPr>
                <w:rFonts w:ascii="Trebuchet MS" w:hAnsi="Trebuchet MS" w:cs="Calibri"/>
                <w:sz w:val="22"/>
                <w:szCs w:val="22"/>
              </w:rPr>
            </w:pPr>
            <w:r>
              <w:rPr>
                <w:rFonts w:cs="Calibri" w:ascii="Trebuchet MS" w:hAnsi="Trebuchet MS"/>
                <w:sz w:val="22"/>
                <w:szCs w:val="22"/>
                <w:lang w:val="en-US" w:eastAsia="en-US" w:bidi="ar-SA"/>
              </w:rPr>
            </w:r>
          </w:p>
          <w:p>
            <w:pPr>
              <w:pStyle w:val="NormalWeb"/>
              <w:widowControl/>
              <w:spacing w:before="280" w:after="280"/>
              <w:jc w:val="both"/>
              <w:rPr>
                <w:rFonts w:ascii="Trebuchet MS" w:hAnsi="Trebuchet MS" w:cs="Calibri"/>
                <w:sz w:val="22"/>
                <w:szCs w:val="22"/>
              </w:rPr>
            </w:pPr>
            <w:r>
              <w:rPr>
                <w:rFonts w:cs="Calibri" w:ascii="Trebuchet MS" w:hAnsi="Trebuchet MS"/>
                <w:sz w:val="22"/>
                <w:szCs w:val="22"/>
                <w:lang w:val="en-US" w:eastAsia="en-US" w:bidi="ar-SA"/>
              </w:rPr>
            </w:r>
          </w:p>
          <w:p>
            <w:pPr>
              <w:pStyle w:val="NormalWeb"/>
              <w:widowControl/>
              <w:spacing w:before="280" w:after="280"/>
              <w:jc w:val="both"/>
              <w:rPr>
                <w:rFonts w:ascii="Trebuchet MS" w:hAnsi="Trebuchet MS" w:cs="Calibri"/>
                <w:sz w:val="22"/>
                <w:szCs w:val="22"/>
              </w:rPr>
            </w:pPr>
            <w:r>
              <w:rPr>
                <w:rFonts w:cs="Calibri" w:ascii="Trebuchet MS" w:hAnsi="Trebuchet MS"/>
                <w:sz w:val="22"/>
                <w:szCs w:val="22"/>
                <w:lang w:val="en-US" w:eastAsia="en-US" w:bidi="ar-SA"/>
              </w:rPr>
            </w:r>
          </w:p>
          <w:p>
            <w:pPr>
              <w:pStyle w:val="NormalWeb"/>
              <w:widowControl/>
              <w:spacing w:before="280" w:after="280"/>
              <w:jc w:val="both"/>
              <w:rPr>
                <w:rFonts w:ascii="Trebuchet MS" w:hAnsi="Trebuchet MS" w:cs="Calibri"/>
                <w:sz w:val="22"/>
                <w:szCs w:val="22"/>
              </w:rPr>
            </w:pPr>
            <w:r>
              <w:rPr>
                <w:rFonts w:cs="Calibri" w:ascii="Trebuchet MS" w:hAnsi="Trebuchet MS"/>
                <w:sz w:val="22"/>
                <w:szCs w:val="22"/>
                <w:lang w:val="en-US" w:eastAsia="en-US" w:bidi="ar-SA"/>
              </w:rPr>
            </w:r>
          </w:p>
          <w:p>
            <w:pPr>
              <w:pStyle w:val="NormalWeb"/>
              <w:widowControl/>
              <w:spacing w:before="280" w:after="280"/>
              <w:jc w:val="both"/>
              <w:rPr>
                <w:rFonts w:ascii="Trebuchet MS" w:hAnsi="Trebuchet MS" w:cs="Calibri"/>
                <w:sz w:val="22"/>
                <w:szCs w:val="22"/>
              </w:rPr>
            </w:pPr>
            <w:r>
              <w:rPr>
                <w:rFonts w:cs="Calibri" w:ascii="Trebuchet MS" w:hAnsi="Trebuchet MS"/>
                <w:sz w:val="22"/>
                <w:szCs w:val="22"/>
                <w:lang w:val="en-US" w:eastAsia="en-US" w:bidi="ar-SA"/>
              </w:rPr>
            </w:r>
          </w:p>
          <w:p>
            <w:pPr>
              <w:pStyle w:val="NormalWeb"/>
              <w:widowControl/>
              <w:spacing w:before="280" w:after="280"/>
              <w:jc w:val="both"/>
              <w:rPr>
                <w:rFonts w:ascii="Trebuchet MS" w:hAnsi="Trebuchet MS" w:cs="Calibri"/>
                <w:sz w:val="22"/>
                <w:szCs w:val="22"/>
              </w:rPr>
            </w:pPr>
            <w:r>
              <w:rPr>
                <w:rFonts w:cs="Calibri" w:ascii="Trebuchet MS" w:hAnsi="Trebuchet MS"/>
                <w:sz w:val="22"/>
                <w:szCs w:val="22"/>
                <w:lang w:val="en-US" w:eastAsia="en-US" w:bidi="ar-SA"/>
              </w:rPr>
            </w:r>
          </w:p>
          <w:p>
            <w:pPr>
              <w:pStyle w:val="NormalWeb"/>
              <w:widowControl/>
              <w:spacing w:before="280" w:after="280"/>
              <w:jc w:val="both"/>
              <w:rPr>
                <w:rFonts w:ascii="Trebuchet MS" w:hAnsi="Trebuchet MS" w:cs="Calibri"/>
                <w:sz w:val="22"/>
                <w:szCs w:val="22"/>
              </w:rPr>
            </w:pPr>
            <w:r>
              <w:rPr>
                <w:rFonts w:cs="Calibri" w:ascii="Trebuchet MS" w:hAnsi="Trebuchet MS"/>
                <w:sz w:val="22"/>
                <w:szCs w:val="22"/>
                <w:lang w:val="en-US" w:eastAsia="en-US" w:bidi="ar-SA"/>
              </w:rPr>
            </w:r>
          </w:p>
          <w:p>
            <w:pPr>
              <w:pStyle w:val="NormalWeb"/>
              <w:widowControl/>
              <w:spacing w:before="280" w:after="280"/>
              <w:jc w:val="both"/>
              <w:rPr>
                <w:rFonts w:ascii="Trebuchet MS" w:hAnsi="Trebuchet MS" w:cs="Calibri"/>
                <w:sz w:val="22"/>
                <w:szCs w:val="22"/>
              </w:rPr>
            </w:pPr>
            <w:r>
              <w:rPr>
                <w:rFonts w:cs="Calibri" w:ascii="Trebuchet MS" w:hAnsi="Trebuchet MS"/>
                <w:sz w:val="22"/>
                <w:szCs w:val="22"/>
                <w:lang w:val="en-US" w:eastAsia="en-US" w:bidi="ar-SA"/>
              </w:rPr>
            </w:r>
          </w:p>
          <w:p>
            <w:pPr>
              <w:pStyle w:val="NormalWeb"/>
              <w:widowControl/>
              <w:spacing w:before="280" w:after="280"/>
              <w:jc w:val="both"/>
              <w:rPr>
                <w:rFonts w:ascii="Trebuchet MS" w:hAnsi="Trebuchet MS" w:cs="Calibri"/>
                <w:sz w:val="22"/>
                <w:szCs w:val="22"/>
              </w:rPr>
            </w:pPr>
            <w:r>
              <w:rPr>
                <w:rFonts w:cs="Calibri" w:ascii="Trebuchet MS" w:hAnsi="Trebuchet MS"/>
                <w:sz w:val="22"/>
                <w:szCs w:val="22"/>
                <w:lang w:val="en-US" w:eastAsia="en-US" w:bidi="ar-SA"/>
              </w:rPr>
            </w:r>
          </w:p>
          <w:p>
            <w:pPr>
              <w:pStyle w:val="NormalWeb"/>
              <w:widowControl/>
              <w:spacing w:before="280" w:after="280"/>
              <w:jc w:val="both"/>
              <w:rPr>
                <w:rFonts w:ascii="Trebuchet MS" w:hAnsi="Trebuchet MS" w:cs="Calibri"/>
                <w:sz w:val="22"/>
                <w:szCs w:val="22"/>
              </w:rPr>
            </w:pPr>
            <w:r>
              <w:rPr>
                <w:rFonts w:cs="Calibri" w:ascii="Trebuchet MS" w:hAnsi="Trebuchet MS"/>
                <w:sz w:val="22"/>
                <w:szCs w:val="22"/>
                <w:lang w:val="en-US" w:eastAsia="en-US" w:bidi="ar-SA"/>
              </w:rPr>
            </w:r>
          </w:p>
          <w:p>
            <w:pPr>
              <w:pStyle w:val="NormalWeb"/>
              <w:widowControl/>
              <w:spacing w:before="280" w:after="280"/>
              <w:jc w:val="both"/>
              <w:rPr>
                <w:rFonts w:ascii="Trebuchet MS" w:hAnsi="Trebuchet MS" w:cs="Calibri"/>
                <w:sz w:val="22"/>
                <w:szCs w:val="22"/>
              </w:rPr>
            </w:pPr>
            <w:r>
              <w:rPr>
                <w:rFonts w:cs="Calibri" w:ascii="Trebuchet MS" w:hAnsi="Trebuchet MS"/>
                <w:sz w:val="22"/>
                <w:szCs w:val="22"/>
                <w:lang w:val="en-US" w:eastAsia="en-US" w:bidi="ar-SA"/>
              </w:rPr>
            </w:r>
          </w:p>
          <w:p>
            <w:pPr>
              <w:pStyle w:val="NormalWeb"/>
              <w:widowControl/>
              <w:spacing w:before="280" w:after="280"/>
              <w:jc w:val="both"/>
              <w:rPr>
                <w:rFonts w:ascii="Trebuchet MS" w:hAnsi="Trebuchet MS" w:cs="Calibri"/>
                <w:sz w:val="22"/>
                <w:szCs w:val="22"/>
              </w:rPr>
            </w:pPr>
            <w:r>
              <w:rPr>
                <w:rFonts w:cs="Calibri" w:ascii="Trebuchet MS" w:hAnsi="Trebuchet MS"/>
                <w:sz w:val="22"/>
                <w:szCs w:val="22"/>
                <w:lang w:val="en-US" w:eastAsia="en-US" w:bidi="ar-SA"/>
              </w:rPr>
            </w:r>
          </w:p>
          <w:p>
            <w:pPr>
              <w:pStyle w:val="NormalWeb"/>
              <w:widowControl/>
              <w:spacing w:before="280" w:after="280"/>
              <w:jc w:val="both"/>
              <w:rPr>
                <w:rFonts w:ascii="Trebuchet MS" w:hAnsi="Trebuchet MS" w:cs="Calibri"/>
                <w:sz w:val="22"/>
                <w:szCs w:val="22"/>
              </w:rPr>
            </w:pPr>
            <w:r>
              <w:rPr>
                <w:rFonts w:cs="Calibri" w:ascii="Trebuchet MS" w:hAnsi="Trebuchet MS"/>
                <w:sz w:val="22"/>
                <w:szCs w:val="22"/>
                <w:lang w:val="en-US" w:eastAsia="en-US" w:bidi="ar-SA"/>
              </w:rPr>
            </w:r>
          </w:p>
          <w:p>
            <w:pPr>
              <w:pStyle w:val="NormalWeb"/>
              <w:widowControl/>
              <w:spacing w:before="280" w:after="280"/>
              <w:jc w:val="both"/>
              <w:rPr>
                <w:rFonts w:ascii="Trebuchet MS" w:hAnsi="Trebuchet MS" w:cs="Calibri"/>
                <w:sz w:val="22"/>
                <w:szCs w:val="22"/>
              </w:rPr>
            </w:pPr>
            <w:r>
              <w:rPr>
                <w:rFonts w:cs="Calibri" w:ascii="Trebuchet MS" w:hAnsi="Trebuchet MS"/>
                <w:sz w:val="22"/>
                <w:szCs w:val="22"/>
                <w:lang w:val="en-US" w:eastAsia="en-US" w:bidi="ar-SA"/>
              </w:rPr>
            </w:r>
          </w:p>
          <w:p>
            <w:pPr>
              <w:pStyle w:val="NormalWeb"/>
              <w:widowControl/>
              <w:spacing w:before="280" w:after="280"/>
              <w:jc w:val="both"/>
              <w:rPr>
                <w:rFonts w:ascii="Trebuchet MS" w:hAnsi="Trebuchet MS" w:cs="Calibri"/>
                <w:sz w:val="22"/>
                <w:szCs w:val="22"/>
              </w:rPr>
            </w:pPr>
            <w:r>
              <w:rPr>
                <w:rFonts w:cs="Calibri" w:ascii="Trebuchet MS" w:hAnsi="Trebuchet MS"/>
                <w:sz w:val="22"/>
                <w:szCs w:val="22"/>
                <w:lang w:val="en-US" w:eastAsia="en-US" w:bidi="ar-SA"/>
              </w:rPr>
            </w:r>
          </w:p>
          <w:p>
            <w:pPr>
              <w:pStyle w:val="NormalWeb"/>
              <w:widowControl/>
              <w:spacing w:before="280" w:after="280"/>
              <w:jc w:val="both"/>
              <w:rPr>
                <w:rFonts w:ascii="Trebuchet MS" w:hAnsi="Trebuchet MS" w:cs="Calibri"/>
                <w:sz w:val="22"/>
                <w:szCs w:val="22"/>
              </w:rPr>
            </w:pPr>
            <w:r>
              <w:rPr>
                <w:rFonts w:cs="Calibri" w:ascii="Trebuchet MS" w:hAnsi="Trebuchet MS"/>
                <w:sz w:val="22"/>
                <w:szCs w:val="22"/>
                <w:lang w:val="en-US" w:eastAsia="en-US" w:bidi="ar-SA"/>
              </w:rPr>
            </w:r>
          </w:p>
          <w:p>
            <w:pPr>
              <w:pStyle w:val="NormalWeb"/>
              <w:widowControl/>
              <w:spacing w:before="280" w:after="280"/>
              <w:jc w:val="both"/>
              <w:rPr>
                <w:rFonts w:ascii="Trebuchet MS" w:hAnsi="Trebuchet MS" w:cs="Calibri"/>
                <w:sz w:val="22"/>
                <w:szCs w:val="22"/>
              </w:rPr>
            </w:pPr>
            <w:r>
              <w:rPr>
                <w:rFonts w:cs="Calibri" w:ascii="Trebuchet MS" w:hAnsi="Trebuchet MS"/>
                <w:sz w:val="22"/>
                <w:szCs w:val="22"/>
                <w:lang w:val="en-US" w:eastAsia="en-US" w:bidi="ar-SA"/>
              </w:rPr>
            </w:r>
          </w:p>
          <w:p>
            <w:pPr>
              <w:pStyle w:val="NormalWeb"/>
              <w:widowControl/>
              <w:spacing w:before="280" w:after="280"/>
              <w:jc w:val="both"/>
              <w:rPr>
                <w:rFonts w:ascii="Trebuchet MS" w:hAnsi="Trebuchet MS" w:cs="Calibri"/>
                <w:sz w:val="22"/>
                <w:szCs w:val="22"/>
              </w:rPr>
            </w:pPr>
            <w:r>
              <w:rPr>
                <w:rFonts w:cs="Calibri" w:ascii="Trebuchet MS" w:hAnsi="Trebuchet MS"/>
                <w:sz w:val="22"/>
                <w:szCs w:val="22"/>
                <w:lang w:val="en-US" w:eastAsia="en-US" w:bidi="ar-SA"/>
              </w:rPr>
            </w:r>
          </w:p>
          <w:p>
            <w:pPr>
              <w:pStyle w:val="NormalWeb"/>
              <w:widowControl/>
              <w:spacing w:before="280" w:after="280"/>
              <w:jc w:val="both"/>
              <w:rPr>
                <w:rFonts w:ascii="Trebuchet MS" w:hAnsi="Trebuchet MS" w:cs="Calibri"/>
                <w:sz w:val="22"/>
                <w:szCs w:val="22"/>
              </w:rPr>
            </w:pPr>
            <w:r>
              <w:rPr>
                <w:rFonts w:cs="Calibri" w:ascii="Trebuchet MS" w:hAnsi="Trebuchet MS"/>
                <w:sz w:val="22"/>
                <w:szCs w:val="22"/>
                <w:lang w:val="en-US" w:eastAsia="en-US" w:bidi="ar-SA"/>
              </w:rPr>
            </w:r>
          </w:p>
          <w:p>
            <w:pPr>
              <w:pStyle w:val="NormalWeb"/>
              <w:widowControl/>
              <w:spacing w:before="280" w:after="280"/>
              <w:jc w:val="both"/>
              <w:rPr>
                <w:rFonts w:ascii="Trebuchet MS" w:hAnsi="Trebuchet MS" w:cs="Calibri"/>
                <w:sz w:val="22"/>
                <w:szCs w:val="22"/>
              </w:rPr>
            </w:pPr>
            <w:r>
              <w:rPr>
                <w:rFonts w:cs="Calibri" w:ascii="Trebuchet MS" w:hAnsi="Trebuchet MS"/>
                <w:sz w:val="22"/>
                <w:szCs w:val="22"/>
                <w:lang w:val="en-US" w:eastAsia="en-US" w:bidi="ar-SA"/>
              </w:rPr>
            </w:r>
          </w:p>
          <w:p>
            <w:pPr>
              <w:pStyle w:val="NormalWeb"/>
              <w:widowControl/>
              <w:spacing w:before="280" w:after="280"/>
              <w:jc w:val="both"/>
              <w:rPr>
                <w:rFonts w:ascii="Trebuchet MS" w:hAnsi="Trebuchet MS" w:cs="Calibri"/>
                <w:sz w:val="22"/>
                <w:szCs w:val="22"/>
              </w:rPr>
            </w:pPr>
            <w:r>
              <w:rPr>
                <w:rFonts w:cs="Calibri"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 xml:space="preserve">Întrebarea dumneavoastră se referă la </w:t>
            </w:r>
            <w:r>
              <w:rPr>
                <w:rStyle w:val="Strong"/>
                <w:rFonts w:eastAsia="" w:ascii="Trebuchet MS" w:hAnsi="Trebuchet MS" w:eastAsiaTheme="majorEastAsia"/>
                <w:sz w:val="22"/>
                <w:szCs w:val="22"/>
                <w:lang w:val="en-US" w:eastAsia="en-US" w:bidi="ar-SA"/>
              </w:rPr>
              <w:t>criteriul A.5 din Grila ETF</w:t>
            </w:r>
            <w:r>
              <w:rPr>
                <w:rFonts w:ascii="Trebuchet MS" w:hAnsi="Trebuchet MS"/>
                <w:sz w:val="22"/>
                <w:szCs w:val="22"/>
                <w:lang w:val="en-US" w:eastAsia="en-US" w:bidi="ar-SA"/>
              </w:rPr>
              <w:t>, și nu la A.4, așa cum ați menționat.</w:t>
              <w:br/>
              <w:t xml:space="preserve">Considerăm că pentru criteriul </w:t>
            </w:r>
            <w:r>
              <w:rPr>
                <w:rStyle w:val="Strong"/>
                <w:rFonts w:eastAsia="" w:ascii="Trebuchet MS" w:hAnsi="Trebuchet MS" w:eastAsiaTheme="majorEastAsia"/>
                <w:sz w:val="22"/>
                <w:szCs w:val="22"/>
                <w:lang w:val="en-US" w:eastAsia="en-US" w:bidi="ar-SA"/>
              </w:rPr>
              <w:t>A.5 din Grila ETF</w:t>
            </w:r>
            <w:r>
              <w:rPr>
                <w:rFonts w:ascii="Trebuchet MS" w:hAnsi="Trebuchet MS"/>
                <w:sz w:val="22"/>
                <w:szCs w:val="22"/>
                <w:lang w:val="en-US" w:eastAsia="en-US" w:bidi="ar-SA"/>
              </w:rPr>
              <w:t xml:space="preserve"> este necesară corectarea punctului </w:t>
            </w:r>
            <w:r>
              <w:rPr>
                <w:rStyle w:val="Strong"/>
                <w:rFonts w:eastAsia="" w:ascii="Trebuchet MS" w:hAnsi="Trebuchet MS" w:eastAsiaTheme="majorEastAsia"/>
                <w:sz w:val="22"/>
                <w:szCs w:val="22"/>
                <w:lang w:val="en-US" w:eastAsia="en-US" w:bidi="ar-SA"/>
              </w:rPr>
              <w:t>b)</w:t>
            </w:r>
            <w:r>
              <w:rPr>
                <w:rFonts w:ascii="Trebuchet MS" w:hAnsi="Trebuchet MS"/>
                <w:sz w:val="22"/>
                <w:szCs w:val="22"/>
                <w:lang w:val="en-US" w:eastAsia="en-US" w:bidi="ar-SA"/>
              </w:rPr>
              <w:t>, după cum urmează:</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 xml:space="preserve"> </w:t>
            </w:r>
            <w:r>
              <w:rPr>
                <w:rStyle w:val="Strong"/>
                <w:rFonts w:eastAsia="" w:ascii="Trebuchet MS" w:hAnsi="Trebuchet MS" w:eastAsiaTheme="majorEastAsia"/>
                <w:sz w:val="22"/>
                <w:szCs w:val="22"/>
                <w:lang w:val="en-US" w:eastAsia="en-US" w:bidi="ar-SA"/>
              </w:rPr>
              <w:t>„</w:t>
            </w:r>
            <w:r>
              <w:rPr>
                <w:rStyle w:val="Strong"/>
                <w:rFonts w:eastAsia="" w:ascii="Trebuchet MS" w:hAnsi="Trebuchet MS" w:eastAsiaTheme="majorEastAsia"/>
                <w:sz w:val="22"/>
                <w:szCs w:val="22"/>
                <w:lang w:val="en-US" w:eastAsia="en-US" w:bidi="ar-SA"/>
              </w:rPr>
              <w:t>punctul b) = 2”</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Conform prevederilor Ghidului solicitantului, Cap. 5.4.2 Categorii și plafoane de cheltuieli eligibile:</w:t>
              <w:br/>
              <w:t>”Categoriile și subcategoriile bugetului cererii de finanțare menționate mai jos sunt corelate, pentru proiecte de lucrări, cu devizul general al investiției, întocmit în conformitate cu prevederile Hotărârii Guvernului nr. 907/2016, cu modificările și completările ulterioare.</w:t>
              <w:br/>
              <w:t>Categoriile de costuri eligibile sunt prezentate mai jos cu încadrarea în categoriile de costuri directe și indirecte menționate la subcapitolul 5.4.3:</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1.Costuri directe (Co dir) reprezintă acele cheltuieli eligibile care sunt direct legate de punerea în aplicare a proiectului și pentru care poate fi demonstrată legătura directă cu respectivul proiect și includ:</w:t>
              <w:br/>
              <w:t>1.1 Cheltuieli cu echipamente tehnologice, utilaje, instalații de lucru, mobilier, echipamente informatice de natura mijloacelor fixe.</w:t>
              <w:br/>
              <w:t>1.2 Cheltuieli cu instalații/echipamente specifice care contribuie în mod substanțial la obiectivele de mediu.</w:t>
              <w:br/>
              <w:t>1.3 Cheltuieli aferente activelor necorporale (brevete, licențe, mărci comerciale, programe informatice în legătură cu obiectivul proiectului, alte cheltuieli pentru drepturi și active similare, utilizate exclusiv în domeniul de activitate vizat de proiect).”</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Considerăm că informațiile prezentate de dumneavoastră sunt incomplete, având în vedere că, la acest moment, cantitatea de deșeuri care ar avea impact asupra investiției nu poate fi cuantificată.</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Da, în cazul în care proiectul prevede contractarea unor servicii externe de colectare și/sau reciclare a deșeurilor, fie ele rezultate din fluxul tehnologic, fie din activitatea indirectă (ex. administrativă), acest tip de măsură se califică pentru acordarea punctajului corespunzător subcriteriului D1.c. Măsurile de minimizare a deșeurilor prevăzute prin proiect trebuie să poată fi cuantificate.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Da, este necesară prezentarea unor precontracte încă de la depunerea proiectului. Deșeurile rezultate vor fi colectate selectiv, în funcție de caracteristicile lor, transportate în depozite autorizate sau predate unor operatori economici autorizați, în scopul valorificării lor. Pentru toată durata de implementare a proiectului vor fi încheiate contracte cu societăți autorizate, ce vor asigura eliminarea/valorificarea tuturor tipurilor de deșeuri generate. Toate deșeurile generate pe parcursul și în urma implementării proiectului vor fi depozitate temporar doar pe suprafețe special amenajate în acest sens. În cazul deșeurilor contaminate se vor lua măsuri speciale de gestionare a acestora (prin depozitarea separată doar pe suprafețe impermeabile), pentru a nu contamina restul deșeurilor sau solul.</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Conform prevederilor Ghidului solicitantului, Cap. 5.4.2 Categorii și plafoane de cheltuieli eligibile:</w:t>
              <w:br/>
              <w:t>„Categoriile și subcategoriile bugetului cererii de finanțare menționate mai jos sunt corelate, pentru proiecte de lucrări, cu devizul general al investiției, întocmit în conformitate cu prevederile Hotărârii Guvernului nr. 907/2016, cu modificările și completările ulterioare.</w:t>
              <w:br/>
              <w:t>Categoriile de costuri eligibile sunt prezentate mai jos cu încadrarea în categoriile de costuri directe și indirecte menționate la subcapitolul 5.4.3:</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1.Costuri directe (Co dir) reprezintă acele cheltuieli eligibile care sunt direct legate de punerea în aplicare a proiectului și pentru care poate fi demonstrată legătura directă cu respectivul proiect și includ:</w:t>
              <w:br/>
              <w:t>1.1 Cheltuieli cu echipamente tehnologice, utilaje, instalații de lucru, mobilier, echipamente informatice de natura mijloacelor fixe.</w:t>
              <w:br/>
              <w:t>1.2 Cheltuieli cu instalații/echipamente specifice care contribuie în mod substanțial la obiectivele de mediu.</w:t>
              <w:br/>
              <w:t>1.3 Cheltuieli aferente activelor necorporale (brevete, licențe, mărci comerciale, programe informatice în legătură cu obiectivul proiectului, alte cheltuieli pentru drepturi și active similare, utilizate exclusiv în domeniul de activitate vizat de proiect).”</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În ceea ce privește criteriul A 6 din grila ETF, conform mențiunii din grilă: „Punctajul în cadrul acestui subcriteriu este cumulativ. Nu se acordă punctaje intermediare.”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Da, pentru îndeplinirea acestui criteriu sunt acceptate oferte comerciale emise de către producători, însoțite de declarații pe propria răspundere ale acestora privind proveniența reciclabilă/reutilizată a produselor și de certificatul constatator care atestă existența codului CAEN relevant pentru producerea respectivelor bunuri.</w:t>
              <w:br/>
              <w:t>Ofertele trebuie adresate în mod explicit și individual solicitantului proiectului.</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În raport cu cele semnalate de dumneavoastră, vă comunicăm că informațiile se regăsesc în Anexa 6b Metodologie – Lista auto-evaluare_DNSH_micro.FIN.</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r>
          </w:p>
        </w:tc>
      </w:tr>
      <w:tr>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39</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3563/23.05.2025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Suntem o microîntreprindere din județul Galați și intenționăm să depunem un proiect în cadrul Programului Tranziție Justă – Microîntreprinderi, având ca obiectiv construirea unei fabrici pentru producția și asamblarea panourilor electrice.</w:t>
              <w:br/>
              <w:t>Am realizat proiectul tehnic de construcție și am depus cererea pentru obținerea certificatului de urbanism. În cuprinsul certificatului eliberat în momentul de față apar restricții de genul:</w:t>
              <w:br/>
              <w:t>• Plan Urbanistic Zonal (PUZ)</w:t>
              <w:br/>
              <w:t>• Studiu geotehnic</w:t>
              <w:br/>
              <w:t>• Plan topografic vizat de OCPI</w:t>
              <w:br/>
              <w:t>• Studiu privind utilizarea unor sisteme alternative de eficiență energetică, conform Legii nr. 372/2005</w:t>
              <w:br/>
              <w:t>• Acordul vecinilor (dacă este cazul)</w:t>
              <w:br/>
              <w:t>• Alte studii de specialitate</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Conform prevederilor Capitolului 7.4 din Ghidul solicitantului, la momentul depunerii cererii de finanțare este necesară prezentarea unui certificat de urbanism valabil, emis pentru obiectivele de investiție. Totodată, Capitolul 8.9.1 din același Ghid prevede că autorizația de construire trebuie depusă în cel mult 9 luni de la intrarea în vigoare a contractului de finanțare.</w:t>
            </w:r>
          </w:p>
        </w:tc>
        <w:tc>
          <w:tcPr>
            <w:tcW w:w="5113"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Conform prevederilor de la Capitolul 7.4 din Ghidul solicitantului, la depunerea cererii de finanțare solicitantul trebuie să prezinte certificatul de urbanism, în termen de valabilitate, emis pentru obiectivele de investiție ale proiectului. Pe de altă parte, conform prevederilor Capitolului 8.9.1 din Ghid, autorizația de construire, în termen de valabilitate, se va depune în cel mult 9 luni de la intrarea în vigoare a contractului de finanțare.</w:t>
              <w:br/>
              <w:t>De asemenea, vă rugăm să aveți în vedere prevederile Ghidului solicitantului cu privire la locul de implementare.</w:t>
            </w:r>
          </w:p>
          <w:p>
            <w:pPr>
              <w:pStyle w:val="Normal"/>
              <w:widowControl/>
              <w:spacing w:lineRule="auto" w:line="240" w:before="0" w:after="0"/>
              <w:jc w:val="both"/>
              <w:rPr>
                <w:rFonts w:ascii="Trebuchet MS" w:hAnsi="Trebuchet MS"/>
                <w:sz w:val="22"/>
                <w:szCs w:val="22"/>
              </w:rPr>
            </w:pPr>
            <w:r>
              <w:rPr>
                <w:rFonts w:eastAsia="Aptos" w:cs="" w:ascii="Trebuchet MS" w:hAnsi="Trebuchet MS"/>
                <w:kern w:val="2"/>
                <w:sz w:val="22"/>
                <w:szCs w:val="22"/>
                <w:lang w:val="en-US" w:eastAsia="en-US" w:bidi="ar-SA"/>
              </w:rPr>
            </w:r>
          </w:p>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r>
          </w:p>
        </w:tc>
      </w:tr>
      <w:tr>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40</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3681/28.05.2025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Vă adresăm rugămintea de a ne oferi o clarificare privind eligibilitatea anumitor activități și echipamente, în contextul pregătirii unui proiect pentru apelul „Sprijin pentru dezvoltarea microîntreprinderilor”, în cadrul Programului Tranziție Justă.</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Solicitantul intenționează să desfășoare o activitate de producție sub codurile CAEN:</w:t>
              <w:br/>
              <w:t>• 1610 – Tăierea și rindeluirea lemnului</w:t>
              <w:br/>
              <w:t>• 1629 – Fabricarea altor produse din lemn</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În cadrul acestei activități se are în vedere achiziția unor echipamente pentru producerea și ambalarea lemnului de foc, respectiv a brichetelor din rumeguș și alte deșeuri lemnoase. Produsul finit obținut este destinat comercializării ca lemn de foc ambalat și brichete.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Întrebarea noastră este:</w:t>
              <w:br/>
              <w:t>Achiziția acestor echipamente (inclusiv mașini de brichetat și de ambalat) este eligibilă în cadrul apelului, având în vedere că, deși activitatea solicitantului respectă principiul DNSH, produsul finit este ulterior utilizat de terți prin ardere, ceea ce poate genera emisii?</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Menționăm că a fost transmisă notificare la ANMAP, iar prin Decizia nr. 6450/19.05.2025 s-a emis clasarea notificării, constatându-se că proiectul nu intră sub incidența legislației privind evaluarea de mediu.</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Vă mulțumim anticipat pentru sprijinul oferit și așteptăm cu interes răspunsul dumneavoastră.</w:t>
            </w:r>
          </w:p>
        </w:tc>
        <w:tc>
          <w:tcPr>
            <w:tcW w:w="5113"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Având în vedere solicitarea dumneavoastră transmisă pe e-mail în data de 28.05.2025, înregistrată la ADRSE cu nr. 3681/28.05.2025, cu privire la apelul de proiecte „Sprijin pentru dezvoltarea microîntreprinderilor”, din cadrul Programului Tranziție Justă 2021-2027, vă precizăm următoarele: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 xml:space="preserve">În ceea ce privește codurile CAEN pe care intenționați să desfășurați activitatea de producție, vă rugăm să consultați Lista codurilor CAEN neeligibile, cuprinsă în „Anexa nr. 2 la Schema de măsuri de ajutor de minimis”, având ca obiectiv dezvoltarea microîntreprinderilor prin acordarea de sprijin pentru creșterea durabilă și crearea de locuri de muncă în cadrul Programului Tranziție Justă 2021-2027, aprobată prin Ordinul ministrului investițiilor și proiectelor europene nr. 654/2025. Documentul poate fi descărcat de pe </w:t>
            </w:r>
            <w:hyperlink r:id="rId14" w:tgtFrame="_new">
              <w:r>
                <w:rPr>
                  <w:rStyle w:val="Hyperlink"/>
                  <w:rFonts w:eastAsia="" w:ascii="Trebuchet MS" w:hAnsi="Trebuchet MS" w:eastAsiaTheme="majorEastAsia"/>
                  <w:sz w:val="22"/>
                  <w:szCs w:val="22"/>
                  <w:lang w:val="en-US" w:eastAsia="en-US" w:bidi="ar-SA"/>
                </w:rPr>
                <w:t>https://mfe.gov.ro/ptj/noutati/</w:t>
              </w:r>
            </w:hyperlink>
            <w:r>
              <w:rPr>
                <w:rFonts w:ascii="Trebuchet MS" w:hAnsi="Trebuchet MS"/>
                <w:sz w:val="22"/>
                <w:szCs w:val="22"/>
                <w:lang w:val="en-US" w:eastAsia="en-US" w:bidi="ar-SA"/>
              </w:rPr>
              <w:t xml:space="preserve"> și </w:t>
            </w:r>
            <w:hyperlink r:id="rId15" w:tgtFrame="_new">
              <w:r>
                <w:rPr>
                  <w:rStyle w:val="Hyperlink"/>
                  <w:rFonts w:eastAsia="" w:ascii="Trebuchet MS" w:hAnsi="Trebuchet MS" w:eastAsiaTheme="majorEastAsia"/>
                  <w:sz w:val="22"/>
                  <w:szCs w:val="22"/>
                  <w:lang w:val="en-US" w:eastAsia="en-US" w:bidi="ar-SA"/>
                </w:rPr>
                <w:t>www.adrse.ro/PTJ_2021/Comunicate</w:t>
              </w:r>
            </w:hyperlink>
            <w:r>
              <w:rPr>
                <w:rFonts w:ascii="Trebuchet MS" w:hAnsi="Trebuchet MS"/>
                <w:sz w:val="22"/>
                <w:szCs w:val="22"/>
                <w:lang w:val="en-US" w:eastAsia="en-US" w:bidi="ar-SA"/>
              </w:rPr>
              <w:t>.</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În cadrul procesului de evaluare a proiectelor depuse se va avea în vedere ca activitățile legate de pregătirea și de implementarea proiectelor, lucrările, serviciile și/sau dotările prevăzute în cadrul acestora, precum și activitatea aferentă codului CAEN pentru care se solicită finanțarea să nu prejudicieze în mod semnificativ cele șase obiective de mediu, în conformitate cu prevederile art. 17 din Regulamentul UE nr. 2020/852 privind instituirea unui cadru care să faciliteze investițiile durabile, pe toată perioada de implementare a proiectului, fiind punctate măsurile suplimentare care contribuie la obiectivele respective, acolo unde este posibil.</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În cadrul acestei linii de finanțare nu vor fi sprijinite, pentru asigurarea îndeplinirii obiectivului de atenuare a schimbărilor climatice, activități în legătură directă/indirectă cu:</w:t>
            </w:r>
          </w:p>
          <w:p>
            <w:pPr>
              <w:pStyle w:val="NormalWeb"/>
              <w:widowControl/>
              <w:numPr>
                <w:ilvl w:val="0"/>
                <w:numId w:val="16"/>
              </w:numPr>
              <w:spacing w:before="280" w:after="280"/>
              <w:jc w:val="both"/>
              <w:rPr>
                <w:rFonts w:ascii="Trebuchet MS" w:hAnsi="Trebuchet MS"/>
                <w:sz w:val="22"/>
                <w:szCs w:val="22"/>
              </w:rPr>
            </w:pPr>
            <w:r>
              <w:rPr>
                <w:rFonts w:ascii="Trebuchet MS" w:hAnsi="Trebuchet MS"/>
                <w:sz w:val="22"/>
                <w:szCs w:val="22"/>
                <w:lang w:val="en-US" w:eastAsia="en-US" w:bidi="ar-SA"/>
              </w:rPr>
              <w:t>investițiile legate de producția, prelucrarea, transportul, distribuția, depozitarea sau arderea combustibililor fosili;</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Referitor la echipamentele pentru producerea și ambalarea lemnului de foc, sunt eligibile echipamentele care nu folosesc combustibili fosili. De asemenea, echipamentele propuse spre achiziție în cadrul proiectului trebuie să respecte cerințele Directivei 125/2009/CE de instituire a unui cadru pentru stabilirea cerințelor în materie de proiectare ecologică aplicabile produselor cu impact energetic a Parlamentului European.</w:t>
            </w:r>
          </w:p>
        </w:tc>
      </w:tr>
      <w:tr>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41</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3696/29.05.2025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Referitor la măsura „INTERVENȚII CARE SPRIJINĂ DEZVOLTAREA ÎNTREPRINDERILOR ȘI A ANTREPRENORIATULUI”, COMPONENTA „SPRIJIN PENTRU CREȘTEREA DURABILĂ A MICROÎNTREPRINDERILOR ȘI CREAREA DE LOCURI DE MUNCĂ”, DIN CADRUL PROGRAMULUI TRANZIȚIE JUSTĂ 2021-2027,</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Pentru o societate care are sediul și își desfășoară activitatea în județul Galați anterior lansării Ghidului în consultare, este eligibil un proiect ce presupune exclusiv achiziția de echipamente/dotări care, din motive de spațiu, va fi implementat într-o locație la care nu s-a desfășurat activitate economică înainte de depunerea cererii de finanțare?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Menționăm că locația în care se dorește implementarea proiectului se află tot în județul Galați.</w:t>
            </w:r>
          </w:p>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r>
          </w:p>
        </w:tc>
        <w:tc>
          <w:tcPr>
            <w:tcW w:w="5113"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Având în vedere solicitarea dumneavoastră transmisă pe e-mail în data de 28.05.2025, înregistrată la ADRSE cu nr. 3696/29.05.2025, cu privire la apelul de proiecte „Sprijin pentru dezvoltarea microîntreprinderilor”, din cadrul Programului Tranziție Justă 2021-2027, vă precizăm următoarele: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Conform prevederilor Ghidului Solicitantului, 5.2 Cerințe privind eligibilitatea proiectului, punctul 3) Locul de implementare, pagina 44:</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w:t>
            </w:r>
            <w:r>
              <w:rPr>
                <w:rFonts w:ascii="Trebuchet MS" w:hAnsi="Trebuchet MS"/>
                <w:sz w:val="22"/>
                <w:szCs w:val="22"/>
                <w:lang w:val="en-US" w:eastAsia="en-US" w:bidi="ar-SA"/>
              </w:rPr>
              <w:t>În situația unei cereri de finanțare care presupune înființarea unui sediu secundar ca urmare a realizării proiectului, solicitantul se va angaja (prin Declarația unică) ca, până la prima plată a ajutorului, dar nu mai târziu de finalizarea implementării proiectului, să înregistreze locul de implementare ca sediu principal/secundar în zona vizată de apel. Dacă solicitantul are deja sediul/punctul de lucru înregistrat și autorizat în zona vizată de apel, dar la acea locație nu a desfășurat activitate economică, sunt eligibile doar proiectele de investiții care nu presupun doar achiziția de echipamente sau dotări.</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Astfel, dacă la sediu/punctul de lucru nu s-a desfășurat activitate economică, acesta va fi tratat ca un punct de lucru nou, caz în care proiectul promovat trebuie să vizeze investiții în infrastructură.”</w:t>
            </w:r>
          </w:p>
        </w:tc>
      </w:tr>
      <w:tr>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42</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3760/30.05.2025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0"/>
              <w:jc w:val="both"/>
              <w:rPr>
                <w:rFonts w:ascii="Trebuchet MS" w:hAnsi="Trebuchet MS"/>
                <w:sz w:val="22"/>
                <w:szCs w:val="22"/>
              </w:rPr>
            </w:pPr>
            <w:r>
              <w:rPr>
                <w:rFonts w:ascii="Trebuchet MS" w:hAnsi="Trebuchet MS"/>
                <w:sz w:val="22"/>
                <w:szCs w:val="22"/>
                <w:lang w:val="en-US" w:eastAsia="en-US" w:bidi="ar-SA"/>
              </w:rPr>
              <w:t>Poate fi considerată eligibilă pentru finanțare prin Programul Tranziție Justă o societate care desfășoară activitate conform codului CAEN 4399, are punctul de lucru într-un județ eligibil în cadrul programului și derulează contracte de prestări servicii cu CNAIR, încheiate cu reprezentanța CNAIR din județul în care se implementează proiectul, dacă activitățile prevăzute în aceste contracte se desfășoară la nivel național (fără posibilitatea de a fi defalcate pe județe), iar serviciile vor fi realizate cu ajutorul echipamentelor achiziționate prin program?</w:t>
            </w:r>
          </w:p>
        </w:tc>
        <w:tc>
          <w:tcPr>
            <w:tcW w:w="5113" w:type="dxa"/>
            <w:tcBorders/>
          </w:tcPr>
          <w:p>
            <w:pPr>
              <w:pStyle w:val="NormalWeb"/>
              <w:widowControl/>
              <w:spacing w:before="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Conform prevederilor Ghidului Solicitantului – Cap. 5.3.2</w:t>
            </w:r>
            <w:r>
              <w:rPr>
                <w:rFonts w:ascii="Trebuchet MS" w:hAnsi="Trebuchet MS"/>
                <w:sz w:val="22"/>
                <w:szCs w:val="22"/>
                <w:lang w:val="en-US" w:eastAsia="en-US" w:bidi="ar-SA"/>
              </w:rPr>
              <w:br/>
              <w:t>„Echipamentele tehnologice, utilajele, instalațiile de lucru, mobilierul, de natura mijloacelor fixe trebuie să fie utilizate la locația de implementare a proiectului/aria vizată de apel. Imposibilitatea demonstrării derulării de activități economice în zona vizată de apel pe perioada de durabilitate a investiției prin contracte comerciale și/sau obiective realizate va conduce la recuperarea contravalorii celor anterior menționate.”</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Precizăm că răspunsul nostru se bazează pe analiza elementelor minimale prezentate de dumneavoastră. În condițiile verificării unei documentații complete, pe baza criteriilor de evaluare și selecție, observațiile pot să difere.</w:t>
            </w:r>
          </w:p>
        </w:tc>
      </w:tr>
      <w:tr>
        <w:trPr/>
        <w:tc>
          <w:tcPr>
            <w:tcW w:w="13405" w:type="dxa"/>
            <w:gridSpan w:val="5"/>
            <w:tcBorders/>
            <w:shd w:color="auto" w:fill="D9D9D9" w:themeFill="background1" w:themeFillShade="d9" w:val="clear"/>
          </w:tcPr>
          <w:p>
            <w:pPr>
              <w:pStyle w:val="Normal"/>
              <w:widowControl/>
              <w:spacing w:lineRule="auto" w:line="240" w:before="0" w:after="0"/>
              <w:jc w:val="both"/>
              <w:rPr>
                <w:rFonts w:ascii="Trebuchet MS" w:hAnsi="Trebuchet MS"/>
                <w:b/>
                <w:bCs/>
                <w:sz w:val="22"/>
                <w:szCs w:val="22"/>
                <w:lang w:val="ro-RO"/>
              </w:rPr>
            </w:pPr>
            <w:r>
              <w:rPr>
                <w:rFonts w:eastAsia="Aptos" w:cs="" w:ascii="Trebuchet MS" w:hAnsi="Trebuchet MS"/>
                <w:b/>
                <w:bCs/>
                <w:kern w:val="2"/>
                <w:sz w:val="22"/>
                <w:szCs w:val="22"/>
                <w:lang w:val="ro-RO" w:eastAsia="en-US" w:bidi="ar-SA"/>
              </w:rPr>
              <w:t>OI PTJ CENTRU</w:t>
            </w:r>
          </w:p>
        </w:tc>
      </w:tr>
      <w:tr>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1</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16852/10.04.2025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 xml:space="preserve">Vă rugăm să ne transmiteți o clarificare oficială cu privire la posibilitatea încadrării codului CAEN </w:t>
            </w:r>
            <w:r>
              <w:rPr>
                <w:rStyle w:val="Strong"/>
                <w:rFonts w:eastAsia="" w:ascii="Trebuchet MS" w:hAnsi="Trebuchet MS" w:eastAsiaTheme="majorEastAsia"/>
                <w:sz w:val="22"/>
                <w:szCs w:val="22"/>
                <w:lang w:val="en-US" w:eastAsia="en-US" w:bidi="ar-SA"/>
              </w:rPr>
              <w:t>7500 – Activități veterinare</w:t>
            </w:r>
            <w:r>
              <w:rPr>
                <w:rFonts w:ascii="Trebuchet MS" w:hAnsi="Trebuchet MS"/>
                <w:sz w:val="22"/>
                <w:szCs w:val="22"/>
                <w:lang w:val="en-US" w:eastAsia="en-US" w:bidi="ar-SA"/>
              </w:rPr>
              <w:t xml:space="preserve"> la criteriul </w:t>
            </w:r>
            <w:r>
              <w:rPr>
                <w:rStyle w:val="Strong"/>
                <w:rFonts w:eastAsia="" w:ascii="Trebuchet MS" w:hAnsi="Trebuchet MS" w:eastAsiaTheme="majorEastAsia"/>
                <w:sz w:val="22"/>
                <w:szCs w:val="22"/>
                <w:lang w:val="en-US" w:eastAsia="en-US" w:bidi="ar-SA"/>
              </w:rPr>
              <w:t>A1</w:t>
            </w:r>
            <w:r>
              <w:rPr>
                <w:rFonts w:ascii="Trebuchet MS" w:hAnsi="Trebuchet MS"/>
                <w:sz w:val="22"/>
                <w:szCs w:val="22"/>
                <w:lang w:val="en-US" w:eastAsia="en-US" w:bidi="ar-SA"/>
              </w:rPr>
              <w:t xml:space="preserve"> din grila de evaluare aferentă apelului </w:t>
            </w:r>
            <w:r>
              <w:rPr>
                <w:rStyle w:val="Emphasis"/>
                <w:rFonts w:eastAsia="" w:ascii="Trebuchet MS" w:hAnsi="Trebuchet MS" w:eastAsiaTheme="majorEastAsia"/>
                <w:sz w:val="22"/>
                <w:szCs w:val="22"/>
                <w:lang w:val="en-US" w:eastAsia="en-US" w:bidi="ar-SA"/>
              </w:rPr>
              <w:t>Programul Tranziție Justă – Ajutor de minimis</w:t>
            </w:r>
            <w:r>
              <w:rPr>
                <w:rFonts w:ascii="Trebuchet MS" w:hAnsi="Trebuchet MS"/>
                <w:sz w:val="22"/>
                <w:szCs w:val="22"/>
                <w:lang w:val="en-US" w:eastAsia="en-US" w:bidi="ar-SA"/>
              </w:rPr>
              <w:t>.</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 xml:space="preserve">Societatea vizată este înregistrată în județul </w:t>
            </w:r>
            <w:r>
              <w:rPr>
                <w:rStyle w:val="Strong"/>
                <w:rFonts w:eastAsia="" w:ascii="Trebuchet MS" w:hAnsi="Trebuchet MS" w:eastAsiaTheme="majorEastAsia"/>
                <w:sz w:val="22"/>
                <w:szCs w:val="22"/>
                <w:lang w:val="en-US" w:eastAsia="en-US" w:bidi="ar-SA"/>
              </w:rPr>
              <w:t>Mureș</w:t>
            </w:r>
            <w:r>
              <w:rPr>
                <w:rFonts w:ascii="Trebuchet MS" w:hAnsi="Trebuchet MS"/>
                <w:sz w:val="22"/>
                <w:szCs w:val="22"/>
                <w:lang w:val="en-US" w:eastAsia="en-US" w:bidi="ar-SA"/>
              </w:rPr>
              <w:t xml:space="preserve"> și intenționează să depună un proiect de investiții pentru dezvoltarea activităților veterinare. Dorim să aflăm dacă acest domeniu poate fi considerat eligibil în cadrul subcriteriului </w:t>
            </w:r>
            <w:r>
              <w:rPr>
                <w:rStyle w:val="Strong"/>
                <w:rFonts w:eastAsia="" w:ascii="Trebuchet MS" w:hAnsi="Trebuchet MS" w:eastAsiaTheme="majorEastAsia"/>
                <w:sz w:val="22"/>
                <w:szCs w:val="22"/>
                <w:lang w:val="en-US" w:eastAsia="en-US" w:bidi="ar-SA"/>
              </w:rPr>
              <w:t>A1</w:t>
            </w:r>
            <w:r>
              <w:rPr>
                <w:rFonts w:ascii="Trebuchet MS" w:hAnsi="Trebuchet MS"/>
                <w:sz w:val="22"/>
                <w:szCs w:val="22"/>
                <w:lang w:val="en-US" w:eastAsia="en-US" w:bidi="ar-SA"/>
              </w:rPr>
              <w:t xml:space="preserve"> din grilă.</w:t>
            </w:r>
          </w:p>
        </w:tc>
        <w:tc>
          <w:tcPr>
            <w:tcW w:w="5113"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Investițiile realizate în domeniul veterinar sunt eligibile în cadrul apelului menționat mai sus, având în vedere faptul că domeniul de activitate respectiv nu se regăsește în lista domeniilor excluse de Regulamentele UE aplicabile.</w:t>
              <w:br/>
              <w:t>În ceea ce privește punctarea unui proiect încadrat la codul CAEN 7500 – Activități veterinare la criteriul A1 din grila de evaluare tehnică și financiară – “Proiectul vizează domeniile identificate expres în cadrul fiecărei priorități PTJ 2021-2027 sau corespunde unuia dintre sectoarele din strategiile regionale de specializare inteligentă și se încadrează în obiectivele liniei de finanțare definite conform ghidului solicitantului”, precizăm că punctarea la acest criteriu se face în măsura în care solicitantul demonstrează în cadrul cererii de finanțare și a planului de afaceri faptul că proiectul se realizează într-unul dintre domeniile identificate expres în cadrul priorității 6 PTJ 2021-2027 (10 puncte), respectiv că proiectul nu vizează domeniile menționate anterior, dar se încadrează în domeniile din Strategia regională de dezvoltare inteligentă (5 puncte).</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În acest context, încadrarea în domeniile identificate expres în cadrul priorității 6 PTJ 2021-2027 sau în domeniile din Strategia regională de dezvoltare inteligentă cade în responsabilitatea solicitantului, care va justifica în cadrul cererii de finanțare și în anexele la aceasta contribuția proiectului la implementarea planului teritorial pentru tranziție justă aferent județului vizat de apel și integrarea în lanțurile de valoare locale.</w:t>
            </w:r>
          </w:p>
        </w:tc>
      </w:tr>
      <w:tr>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2</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17456/14.04.2025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 xml:space="preserve">  </w:t>
            </w:r>
            <w:r>
              <w:rPr>
                <w:rFonts w:ascii="Trebuchet MS" w:hAnsi="Trebuchet MS"/>
                <w:sz w:val="22"/>
                <w:szCs w:val="22"/>
                <w:lang w:val="en-US" w:eastAsia="en-US" w:bidi="ar-SA"/>
              </w:rPr>
              <w:t>Interpretarea numărului mediu de salariați:</w:t>
              <w:br/>
              <w:t>o Ce interval de timp este luat în considerare în calculul acestui indicator? Este necesar ca solicitantul să fi avut salariați activi pe parcursul întregului an fiscal anterior, sau este suficient ca, în medie, să existe cel puțin un salariat (chiar dacă nu pe toată perioada)?</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 xml:space="preserve">  </w:t>
            </w:r>
            <w:r>
              <w:rPr>
                <w:rFonts w:ascii="Trebuchet MS" w:hAnsi="Trebuchet MS"/>
                <w:sz w:val="22"/>
                <w:szCs w:val="22"/>
                <w:lang w:val="en-US" w:eastAsia="en-US" w:bidi="ar-SA"/>
              </w:rPr>
              <w:t>Metodologia de calcul:</w:t>
              <w:br/>
              <w:t>o Este acceptabil ca numărul mediu de salariați să fie rotunjit conform regulilor de raportare din bilanț? În cazul în care numărul calculat este subunitar (ex: 0,58), cum trebuie raportat acest indicator?</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 xml:space="preserve">  </w:t>
            </w:r>
            <w:r>
              <w:rPr>
                <w:rFonts w:ascii="Trebuchet MS" w:hAnsi="Trebuchet MS"/>
                <w:sz w:val="22"/>
                <w:szCs w:val="22"/>
                <w:lang w:val="en-US" w:eastAsia="en-US" w:bidi="ar-SA"/>
              </w:rPr>
              <w:t>Eligibilitatea în cazul angajării parțiale:</w:t>
              <w:br/>
              <w:t>o Dacă solicitantul a avut un angajat pe o perioadă mai scurtă (ex: 7 luni), dar numărul mediu calculat rotunjit indică 1 salariat, aceasta respectă cerința de eligibilitate?</w:t>
            </w:r>
          </w:p>
        </w:tc>
        <w:tc>
          <w:tcPr>
            <w:tcW w:w="5113"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În cadrul metodologiei de selecție – versiunea actualizată, a fost modificat criteriul de eligibilitate menționat de dumneavoastră după cum urmează: „Solicitantul a înregistrat un număr mediu de salariați de cel puțin 0, fără a lua în calcul funcția de administrator sau asociat, în anul fiscal anterior deschiderii apelului de proiecte”.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 xml:space="preserve">Metodologia de selecție actualizată pentru componenta menționată poate fi consultată la adresa: </w:t>
            </w:r>
            <w:hyperlink r:id="rId16" w:tgtFrame="_new">
              <w:r>
                <w:rPr>
                  <w:rStyle w:val="Hyperlink"/>
                  <w:rFonts w:eastAsia="" w:ascii="Trebuchet MS" w:hAnsi="Trebuchet MS" w:eastAsiaTheme="majorEastAsia"/>
                  <w:sz w:val="22"/>
                  <w:szCs w:val="22"/>
                  <w:lang w:val="en-US" w:eastAsia="en-US" w:bidi="ar-SA"/>
                </w:rPr>
                <w:t>https://www.adrcentru.ro/wp-content/uploads/2025/03/Actualizare-metodologie-si-criterii-de-evaluare-si-selectie-Investitii-pentru-dezvoltarea-IMM.pdf</w:t>
              </w:r>
            </w:hyperlink>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Pentru a determina numărul mediu de salariați înregistrat în anul fiscal anterior deschiderii apelului de proiecte se va avea în vedere valoarea medie a angajaților raportată la bilanțul aferent anului anterior depunerii cererii de finanțare. Prin urmare, se are în vedere valoarea medie a angajaților așa cum aceasta rezultă din situațiile financiare aferente anului fiscal anterior deschiderii apelului de proiecte.</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Solicitantul are responsabilitatea întocmirii situațiilor financiare în conformitate cu legislația în vigoare.</w:t>
            </w:r>
          </w:p>
        </w:tc>
      </w:tr>
      <w:tr>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3</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17461/14.04.2025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În bilanțul pentru anul fiscal 2024, estimăm pentru prima dată o depășire a pragului de 2 milioane EUR la activele totale.</w:t>
              <w:br/>
              <w:t>În acest context, dorim să înțelegem dacă această situație poate duce la pierderea statutului de microîntreprindere și implică efecte asupra eligibilității noastre în cadrul Programului Tranziție Justă.</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În mod specific, dorim să clarificăm următoarele:</w:t>
            </w:r>
          </w:p>
          <w:p>
            <w:pPr>
              <w:pStyle w:val="NormalWeb"/>
              <w:widowControl/>
              <w:numPr>
                <w:ilvl w:val="0"/>
                <w:numId w:val="17"/>
              </w:numPr>
              <w:spacing w:before="280" w:after="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Regula celor doi ani consecutivi</w:t>
            </w:r>
            <w:r>
              <w:rPr>
                <w:rFonts w:ascii="Trebuchet MS" w:hAnsi="Trebuchet MS"/>
                <w:sz w:val="22"/>
                <w:szCs w:val="22"/>
                <w:lang w:val="en-US" w:eastAsia="en-US" w:bidi="ar-SA"/>
              </w:rPr>
              <w:t>: Este necesar ca depășirea pragului de 2 milioane EUR la active să fie prezentă în doi ani fiscali consecutivi (ex.: 2023 și 2024) pentru ca firma să piardă statutul de microîntreprindere?</w:t>
            </w:r>
          </w:p>
          <w:p>
            <w:pPr>
              <w:pStyle w:val="NormalWeb"/>
              <w:widowControl/>
              <w:numPr>
                <w:ilvl w:val="0"/>
                <w:numId w:val="17"/>
              </w:numPr>
              <w:spacing w:before="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Menținerea altor criterii</w:t>
            </w:r>
            <w:r>
              <w:rPr>
                <w:rFonts w:ascii="Trebuchet MS" w:hAnsi="Trebuchet MS"/>
                <w:sz w:val="22"/>
                <w:szCs w:val="22"/>
                <w:lang w:val="en-US" w:eastAsia="en-US" w:bidi="ar-SA"/>
              </w:rPr>
              <w:t>: Dacă numărul de salariați și cifra de afaceri rămân în limitele specifice microîntreprinderilor, este afectat statutul nostru doar din cauza depășirii pragului de active în bilanțul 2024?</w:t>
            </w:r>
          </w:p>
        </w:tc>
        <w:tc>
          <w:tcPr>
            <w:tcW w:w="5113"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În vederea încadrării întreprinderii în categoria IMM – microîntreprindere se va avea în vedere respectarea prevederilor Legii 346/2004 - privind stimularea înființării și dezvoltării întreprinderilor mici și mijlocii, unde la art. 4, alineatul (1), litera a) se specifică faptul că microîntreprinderile: „au până la 9 salariați și realizează o cifră de afaceri anuală netă sau dețin active totale de până la 2 milioane euro, echivalent în lei”.</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Totodată, la art. 6, alineatul (2) din legea mai sus menționată, se specifică: „Dacă la data întocmirii situațiilor financiare anuale întreprinderea nu se mai încadrează în plafoanele stabilite la art. 3 și 4, aceasta nu își va pierde calitatea de întreprindere mică, mijlocie sau microîntreprindere decât dacă depășirea acestor plafoane se produce în două exerciții financiare consecutive”.</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Astfel, având în vedere cele menționate mai sus, doar depășirea echivalentului în lei a pragului de 2 milioane euro, în ceea ce privește activele totale, nu conduce la modificarea încadrării în categoria de microîntreprindere, dacă numărul de salariați nu este mai mare de 9 și cifra de afaceri anuală netă este până la 2 milioane euro, echivalent în lei.</w:t>
            </w:r>
          </w:p>
        </w:tc>
      </w:tr>
      <w:tr>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4</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17462/14.04.225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Certificatul de urbanism emis specifică scopul „elaborare PUZ, întocmire DTAC și obținere avize”, iar terenul vizat este situat în extravilan, ceea ce impune procedura de urbanizare. Conform prevederilor din ghid, dorim să clarificăm următoarele: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1.Se consideră că acest certificat de urbanism, având scopul declarat conform modelului atașat, respectă cerința de a fi emis pentru obiectivele de investiție ale proiectului?</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2.Sunt necesare mențiuni suplimentare în certificatul de urbanism pentru a asigura conformitatea cu cerințele aplicabile proiectului?</w:t>
            </w:r>
          </w:p>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r>
          </w:p>
        </w:tc>
        <w:tc>
          <w:tcPr>
            <w:tcW w:w="5113"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 xml:space="preserve">Potrivit Ghidului Solicitantului referitor la componenta menționată, secțiunea 7.4, pct. 11, la depunerea cererii de finanțare se solicită anexarea Certificatului de urbanism, în termen de valabilitate, emis pentru obiecti-vele de investiție ale proiectului /autorizația de construire, dacă există, după caz. </w:t>
            </w:r>
          </w:p>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r>
          </w:p>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Certificatul de urbanism este actul de informare cu caracter obligatoriu prin care autoritatea administrației publice județene sau locale face cunoscute regimul juridic, economic şi tehnic al imobilelor şi condițiile necesare în vederea realizării unor investiții, tranzacții imobiliare ori a altor operațiuni imobiliare, potrivit legii.</w:t>
            </w:r>
          </w:p>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r>
          </w:p>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Certificatul de urbanism se întocmește în conformitate cu prevederile documentațiilor de urbanism (P.U.G., P.U.Z., P.U.D). Astfel, pentru obținerea autorizației de construire, este necesar să se respecte condițiile impuse de legislația în vigoare și de regulamentul local de urbanism.</w:t>
            </w:r>
          </w:p>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r>
          </w:p>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Având în vedere cele de mai sus, Certificatul de urbanism atașat cererii de finanțare trebuie să fie cel care stă la baza obținerii autorizației de construire, în cuprinsul acestuia fiind menționat explicit că acesta este eliberat în vederea obținerii autorizației de construire pentru investiția propusă în proiect.</w:t>
            </w:r>
          </w:p>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r>
          </w:p>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Totodată, potrivit Ghidului Solicitantului referitor la componenta menționată, secțiunea 5.2 Cerințe privind eligibilitatea proiectului, pct. 3, “locul de implementare trebuie identificat în cadrul cererii de finanțare, descris în cadrul planului de afaceri (Anexa 5) și trebuie să fie adecvat proiectului.” Astfel, solicitantul se va asigura că locul de implementare al proiectului este adecvat pentru realizarea activităților proiectului și respectă cerințele de autorizare și funcționare conform legislației în vigoare.</w:t>
            </w:r>
          </w:p>
        </w:tc>
      </w:tr>
      <w:tr>
        <w:trPr>
          <w:trHeight w:val="227" w:hRule="atLeast"/>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5</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18559/23.04.2025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O microîntreprindere cu sediul social în județul Harghita a înființat un punct de lucru în județul Mureș (localitatea Sovata) în luna martie 2025, în baza unui contract de închiriere valabil. Având în vedere cerințele din Ghidul solicitantului privind eligibilitatea solicitantului și obligația de a realiza investiția în zona eligibilă, vă rugăm să ne confirmați dacă această firmă este eligibilă pentru a depune proiect în cadrul apelului, fără a include investiții în infrastructură (clădiri/construcții), în condițiile în care activitatea economică se va desfășura exclusiv la punctul de lucru înregistrat în Sovata, județul Mureș.</w:t>
            </w:r>
          </w:p>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r>
          </w:p>
        </w:tc>
        <w:tc>
          <w:tcPr>
            <w:tcW w:w="5113"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Conform prevederilor Ghidului solicitantului, Secțiunea 5.2, pct. 3 Locul de implementare: “dacă solicitantul are deja sediul/punctul de lucru înregistrat și autorizat în zona vizată de apel, dar la acea locație nu a desfășurat activitate economică, sunt eligibile doar proiectele de investiții care nu presupun doar achiziția de echipamente sau dotări. Astfel dacă la sediu/punctul de lucru nu s-a desfășurat activitate economică, acesta va fi tratat ca un punct de lucru nou, caz în care proiectul promovat trebuie să vizeze investiții în infrastructură.”</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Conform informațiilor furnizate de dumneavoastră, o microîntreprindere cu sediul social în județul Harghita a înființat un punct de lucru în județul Mureș, localitatea Sovata, în luna martie 2025, dar nu se precizează dacă la punctul de lucru respectiv se desfășoară activitate economică.</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Prin urmare, nu avem suficiente date pentru a ne pronunța cu privire la eligibilitatea proiectului în cadrul apelului menționat, în situația în care solicitantul nu dorește să includă investiții în infrastructură (clădiri/construcții). Mai precizăm că răspunsul nostru se bazează pe analiza elementelor minimale prezentate de dumneavoastră. În condițiile verificării unei documentații complete, pe baza criteriilor de evaluare și selecție, observațiile pot să difere.</w:t>
            </w:r>
          </w:p>
        </w:tc>
      </w:tr>
      <w:tr>
        <w:trPr>
          <w:trHeight w:val="227" w:hRule="atLeast"/>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6</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18753/24.04.2025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0"/>
              <w:jc w:val="both"/>
              <w:rPr>
                <w:rFonts w:ascii="Trebuchet MS" w:hAnsi="Trebuchet MS"/>
                <w:sz w:val="22"/>
                <w:szCs w:val="22"/>
              </w:rPr>
            </w:pPr>
            <w:r>
              <w:rPr>
                <w:rFonts w:ascii="Trebuchet MS" w:hAnsi="Trebuchet MS"/>
                <w:sz w:val="22"/>
                <w:szCs w:val="22"/>
                <w:lang w:val="en-US" w:eastAsia="en-US" w:bidi="ar-SA"/>
              </w:rPr>
              <w:t>Nu am găsit ca la alte programe lista codurilor CAEN eligibile. Care sunt localitățile marginalizate care au prioritate? Unde găsim lista?</w:t>
            </w:r>
          </w:p>
        </w:tc>
        <w:tc>
          <w:tcPr>
            <w:tcW w:w="5113"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 xml:space="preserve">• </w:t>
            </w:r>
            <w:r>
              <w:rPr>
                <w:rFonts w:ascii="Trebuchet MS" w:hAnsi="Trebuchet MS"/>
                <w:sz w:val="22"/>
                <w:szCs w:val="22"/>
                <w:lang w:val="en-US" w:eastAsia="en-US" w:bidi="ar-SA"/>
              </w:rPr>
              <w:t>În ceea ce privește punctarea criteriului A4 din Grila ETF, referitor la zonele defavorizate, se vor avea în vedere informațiile incluse în Grila ETF cu privire la acest criteriu. Se vor avea în vedere zone rurale marginalizate în conformitate cu Atlasul Zonelor Rurale Marginalizate și al Dezvoltării Umane Locale din România, disponibil la momentul lansării apelurilor. De asemenea, se vor avea în vedere documente aprobate la nivel de județ/local (ex. strategii de dezvoltare) care să identifice alte zone defavorizate la nivelul acestora.</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 xml:space="preserve">• </w:t>
            </w:r>
            <w:r>
              <w:rPr>
                <w:rFonts w:ascii="Trebuchet MS" w:hAnsi="Trebuchet MS"/>
                <w:sz w:val="22"/>
                <w:szCs w:val="22"/>
                <w:lang w:val="en-US" w:eastAsia="en-US" w:bidi="ar-SA"/>
              </w:rPr>
              <w:t>Lista codurilor CAEN neeligibile se regăsește în Anexa 2 la Schema de măsuri de ajutor de minimis având ca obiectiv dezvoltarea microîntreprinderilor prin acordarea de sprijin pentru creșterea durabilă și crearea de locuri de muncă în cadrul Programului Tranziție Justă 2021-2027, aprobată prin Ordinul MI-PE nr. 654 din 1 aprilie 2025.</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 xml:space="preserve">Schema de măsuri de ajutor de minimis poate fi consultată la următorul link: </w:t>
            </w:r>
            <w:hyperlink r:id="rId17" w:tgtFrame="_new">
              <w:r>
                <w:rPr>
                  <w:rStyle w:val="Hyperlink"/>
                  <w:rFonts w:eastAsia="" w:ascii="Trebuchet MS" w:hAnsi="Trebuchet MS" w:eastAsiaTheme="majorEastAsia"/>
                  <w:sz w:val="22"/>
                  <w:szCs w:val="22"/>
                  <w:lang w:val="en-US" w:eastAsia="en-US" w:bidi="ar-SA"/>
                </w:rPr>
                <w:t>https://www.adrcentru.ro/ptj-centru/ptj-implementare/ptj-ghiduri-lansate/ptj-antreprenorii-din-judetul-mures-pot-depune-cereri-de-finantare-in-cadrul-apelului-de-proiecte-adresat-microintreprinderilor/</w:t>
              </w:r>
            </w:hyperlink>
          </w:p>
        </w:tc>
      </w:tr>
      <w:tr>
        <w:trPr>
          <w:trHeight w:val="227" w:hRule="atLeast"/>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7</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18890/24.04.2025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0"/>
              <w:jc w:val="both"/>
              <w:rPr>
                <w:rFonts w:ascii="Trebuchet MS" w:hAnsi="Trebuchet MS"/>
                <w:sz w:val="22"/>
                <w:szCs w:val="22"/>
              </w:rPr>
            </w:pPr>
            <w:r>
              <w:rPr>
                <w:rFonts w:ascii="Trebuchet MS" w:hAnsi="Trebuchet MS"/>
                <w:sz w:val="22"/>
                <w:szCs w:val="22"/>
                <w:lang w:val="en-US" w:eastAsia="en-US" w:bidi="ar-SA"/>
              </w:rPr>
              <w:t>În cadrul programului de finanțare Tranziție Justă – Sprijin pentru microîntreprinderi, se pot achiziționa și baterii împreună cu panourile fotovoltaice?</w:t>
            </w:r>
          </w:p>
        </w:tc>
        <w:tc>
          <w:tcPr>
            <w:tcW w:w="5113"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Conform capitolului 5.3.2. - Activități eligibile, punctul a), se finanțează „achiziționarea de instalații/echipamente specifice în scopul implementării măsurilor care contribuie în mod substanțial la obiectivele de mediu, în procent de maximum 10% din valoarea totală eligibilă a proiectului.”</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Astfel, dacă bateriile sunt parte a sistemului fotovoltaic propus, acestea sunt eligibile, în măsura în care este vizat scopul precizat mai sus și în limita procentuală impusă de Ghidul solicitantului.</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Precizăm că răspunsul nostru se bazează pe analiza elementelor minimale prezentate de dumneavoastră. În condițiile verificării unei documentații complete, pe baza criteriilor de evaluare și selecție, observațiile pot să difere.</w:t>
            </w:r>
          </w:p>
        </w:tc>
      </w:tr>
      <w:tr>
        <w:trPr>
          <w:trHeight w:val="227" w:hRule="atLeast"/>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8</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22209/13.05.2025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0"/>
              <w:jc w:val="both"/>
              <w:rPr>
                <w:rFonts w:ascii="Trebuchet MS" w:hAnsi="Trebuchet MS"/>
                <w:sz w:val="22"/>
                <w:szCs w:val="22"/>
              </w:rPr>
            </w:pPr>
            <w:r>
              <w:rPr>
                <w:rFonts w:ascii="Trebuchet MS" w:hAnsi="Trebuchet MS"/>
                <w:sz w:val="22"/>
                <w:szCs w:val="22"/>
                <w:lang w:val="en-US" w:eastAsia="en-US" w:bidi="ar-SA"/>
              </w:rPr>
              <w:t>Am o întrebare legată de criteriul D2 – Accesibilitate pentru persoanele cu dizabilități, din grila de evaluare aferentă apelului „Tranziție Justă – Sprijin pentru microîntreprinderi”.</w:t>
              <w:br/>
              <w:t>Având în vedere că acest criteriu nu este un criteriu de eligibilitate, ci unul de punctaj, dorim să știm dacă achiziția unui elevator mobil cu șenile pentru scări, destinat facilitării accesului persoanelor cu mobilitate redusă, poate fi luată în considerare ca măsură validă și punctabilă în cadrul acestui criteriu.</w:t>
            </w:r>
          </w:p>
        </w:tc>
        <w:tc>
          <w:tcPr>
            <w:tcW w:w="5113"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În Ghidul Solicitantului pentru componenta menționată, cap. 3, pct. 3.19 Acțiuni menite să garanteze egalitatea de șanse, de gen, incluziunea și nediscriminarea, se menționează: „În ceea ce privește respectarea principiilor orizontale privind egalitatea de șanse, de gen și nediscriminarea bazată pe motive precum: sexul, orientarea sexuală, handicapul, vârsta, rasa, originea etnică, naționalitatea și religia sau convingerile, acestea vor fi avute în vedere în procesul de pregătire a proiectelor, în etapa de contractare, implementare și pe toată durata de valabilitate a contractului de finanțare.</w:t>
              <w:br/>
              <w:t>În cadrul acestui proces, solicitantul se va asigura că respectă:</w:t>
              <w:br/>
              <w:t>• legislația națională și comunitară aplicabilă în domeniul egalității de șanse, de gen, nediscriminării și accesibilității pentru persoanele cu dizabilități;</w:t>
              <w:br/>
              <w:t>• Carta drepturilor fundamentale a Uniunii Europene;</w:t>
              <w:br/>
              <w:t>• Convenția ONU privind drepturile persoanelor cu dizabilități.”</w:t>
            </w:r>
          </w:p>
          <w:p>
            <w:pPr>
              <w:pStyle w:val="NormalWeb"/>
              <w:widowControl/>
              <w:numPr>
                <w:ilvl w:val="0"/>
                <w:numId w:val="18"/>
              </w:numPr>
              <w:spacing w:before="280" w:after="280"/>
              <w:jc w:val="both"/>
              <w:rPr>
                <w:rFonts w:ascii="Trebuchet MS" w:hAnsi="Trebuchet MS"/>
                <w:sz w:val="22"/>
                <w:szCs w:val="22"/>
              </w:rPr>
            </w:pPr>
            <w:r>
              <w:rPr>
                <w:rFonts w:ascii="Trebuchet MS" w:hAnsi="Trebuchet MS"/>
                <w:sz w:val="22"/>
                <w:szCs w:val="22"/>
                <w:lang w:val="en-US" w:eastAsia="en-US" w:bidi="ar-SA"/>
              </w:rPr>
              <w:t>În cadrul Grilei ETF, Criteriul D2, se acordă punctaj în cazul în care proiectul include măsuri de asigurare a egalității de șanse și tratament pentru adaptarea infrastructurii, inclusiv a echipamentelor și utilajelor pentru accesul și operarea de către persoane cu dizabilități (suplimentar/complementar față de prevederile minime legale). Mai exact, un proiect este punctat cu 4 puncte la acest criteriu dacă include măsuri suplimentare față de minimul legal cu privire la asigurarea egalității de șanse și tratament sau a accesibilității pentru persoanele cu dizabilități, în ceea ce privește accesul acestora la infrastructură și operarea de către acestea a echipamentelor și utilajelor.</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În acest context, achiziția unui elevator mobil cu șenile pentru scări, destinat facilitării accesului persoanelor cu mobilitate redusă va fi punctată în cadrul criteriului D2 din Grila ETF, dacă aceasta este o măsură suplimentară/complementară față de prevederile minime legale cu privire la asigurarea egalității de șanse și tratament sau a accesibilității pentru persoanele cu dizabilități, în ceea ce privește accesul acestora la infrastructură și operarea de către acestea a echipamentelor și utilajelor, în conformitate cu legislația comunitară și națională în vigoare.</w:t>
            </w:r>
          </w:p>
        </w:tc>
      </w:tr>
      <w:tr>
        <w:trPr>
          <w:trHeight w:val="227" w:hRule="atLeast"/>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9</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22569/14.05.2025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0"/>
              <w:jc w:val="both"/>
              <w:rPr>
                <w:rFonts w:ascii="Trebuchet MS" w:hAnsi="Trebuchet MS"/>
                <w:sz w:val="22"/>
                <w:szCs w:val="22"/>
              </w:rPr>
            </w:pPr>
            <w:r>
              <w:rPr>
                <w:rFonts w:ascii="Trebuchet MS" w:hAnsi="Trebuchet MS"/>
                <w:sz w:val="22"/>
                <w:szCs w:val="22"/>
                <w:lang w:val="en-US" w:eastAsia="en-US" w:bidi="ar-SA"/>
              </w:rPr>
              <w:t>Se poate solicita finanțare în cadrul programului Tranziție Justă – Microîntreprinderi, în situația în care, în extrasul de carte funciară, la secțiunea „Destinație construcție” este menționat „construcție de locuințe”, însă la observații/referințe este clar specificat faptul că la parter se află o sală de tratament?</w:t>
              <w:br/>
              <w:t>Menționez că proiectul presupune doar achiziții de echipamente stomatologice.</w:t>
              <w:br/>
              <w:t>Spațiul nu este în proprietatea firmei, însă există un contract de închiriere valabil.</w:t>
            </w:r>
          </w:p>
        </w:tc>
        <w:tc>
          <w:tcPr>
            <w:tcW w:w="5113"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Ghidul Solicitantului pentru componenta menționată, cap. D31, pct. 6, secțiunea B, prevede următoarele:</w:t>
              <w:br/>
              <w:t>„Pentru proiectele de investiții pentru care nu este necesară obținerea autorizației de construire, precum și pentru proiectele care vizează exclusiv achiziția de servicii și/sau dotări, solicitantul de finanțare trebuie să facă dovada unui drept real sau a unui drept de folosință care rezultă din contracte de închiriere sau de comodat asupra bunurilor imobile care fac obiectul cererii de finanțare și/sau asupra bunurilor imobile care constituie locația/locațiile de implementare a proiectului, în etapa de contractare, respectiv nu mai târziu de semnarea contractului de finanțare. În situația în care, în etapa de contractare, beneficiarul nu demonstrează că este titularul dreptului real sau al unui drept de folosință care rezultă din contracte de închiriere sau de comodat, cererea de finanțare este respinsă.</w:t>
              <w:br/>
              <w:t>La depunerea cererii de finanțare, solicitantul va declara, odată cu întocmirea declarației unice, că deține sau urmează să dețină (până la semnarea contractului de finanțare) un drept real sau un drept de folosință care rezultă din contracte de închiriere sau de comodat asupra bunurilor imobile care fac obiectul cererii de finanțare și/sau asupra bunurilor imobile care constituie locația/locațiile de implementare a proiectului.</w:t>
              <w:br/>
              <w:t>De asemenea, declară că respectă regimul juridic aferent sarcinilor, prin raportare la legislația în vigoare, la data demarării etapei de contractare. AM PTJ/OI PTJ verifică, în etapa de contractare, respectarea acestor condiții.”</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-La secțiunea 5.2, pct. 3. Locul de implementare, se menționează:</w:t>
              <w:br/>
              <w:t>„Până la data primei plăți din ajutorul de minimis, dar nu mai târziu de finalizarea implementării proiectului, solicitantul trebuie să aibă locul de implementare a proiectului înregistrat ca sediu principal sau secundar în zona vizată de apel.</w:t>
              <w:br/>
              <w:t>Cu toate acestea, locul de implementare trebuie identificat în cadrul cererii de finanțare, descris în cadrul planului de afaceri (Anexa 5) și trebuie să fie adecvat proiectului.</w:t>
              <w:br/>
              <w:t>În situația unei cereri de finanțare care presupune înființarea unui sediu secundar ca urmare a realizării proiectului, solicitantul se va angaja (prin Declarația unică) ca, până la prima plată a ajutorului, dar nu mai târziu de finalizarea implementării proiectului, să înregistreze locul de implementare ca sediu principal/secundar în zona vizată de apel. Dacă solicitantul are deja sediul/punctul de lucru înregistrat și autorizat în zona vizată de apel, dar la acea locație nu a desfășurat activitate economică, sunt eligibile doar proiectele de investiții care nu presupun doar achiziția de echipamente sau dotări. Astfel dacă la sediu/punctul de lucru nu s-a desfășurat activitate economică, acesta va fi tratat ca un punct de lucru nou, caz în care proiectul promovat trebuie să vizeze investiții în infrastructură.”</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-De asemenea, conform secțiunii 7.6, pct. 11, la momentul contractării se vor anexa „Documente care atestă existența unui drept real principal/un drept de folosință asupra bunurilor imobile care fac obiectul cererii de finanțare.</w:t>
              <w:br/>
              <w:t>Astfel, se vor depune:</w:t>
              <w:br/>
              <w:t>o extras de carte funciară cu privire la bunurile imobile (teren și clădire), emis cu cel mult 30 de zile înainte de depunerea documentelor obligatorii solicitate la momentul contractării, din care să rezulte intabularea dreptului de proprietate/concesiune/superficie și absența sarcinilor care sunt incompatibile cu realizarea activităților proiectului;</w:t>
              <w:br/>
              <w:t>o documente care atestă dreptul solicitantului de a realiza proiectul, conform prevederilor legale în vigoare și conform situațiilor prevăzute la subcapitolul 5.1.2 – cerința 6) din prezentul ghid, respectiv contract de vânzare-cumpărare/contracte de superficie/de uzufruct/de concesiune/închiriere/comodat, alte documente coroborat, după caz, cu drepturile solicitate pentru obținerea autorizației de construire în conformitate cu prevederile Legii nr. 50/1991, republicată cu modificările și completările ulterioare.</w:t>
              <w:br/>
              <w:t>În situația în care solicitantul de finanțare deține alt drept real decât cel de proprietate asupra bunurilor imobile, se vor transmite inclusiv documente care atestă acordul proprietarului cu privire la realizarea activităților pe parcursul perioadei de implementare și pentru perioada de durabilitate, precum și dreptul proprietarului imobilului de a încheia contractul.</w:t>
              <w:br/>
              <w:t>Pentru proiectele care nu includ lucrări, imobilul este identificat ca fiind imobilul în care activele achiziționate prin proiect (ex: utilaje, linii de producție) sunt instalate, montate și/sau utilizate. Spațiul trebuie să fie adecvat desfășurării activității pentru care sunt achiziționate activele și va fi identificat și descris în cererea de finanțare.”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Spațiile din extrasul CF trebuie să reflecte componența spațiilor și destinația pentru care acestea au fost închiriate.</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Având în vedere cele de mai sus, menționăm că solicitantul și proiectul trebuie să respecte condițiile de eligibilitate specificate în Ghidul solicitantului.</w:t>
            </w:r>
          </w:p>
        </w:tc>
      </w:tr>
      <w:tr>
        <w:trPr>
          <w:trHeight w:val="227" w:hRule="atLeast"/>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10</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2309/16.05.2025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0"/>
              <w:jc w:val="both"/>
              <w:rPr>
                <w:rFonts w:ascii="Trebuchet MS" w:hAnsi="Trebuchet MS"/>
                <w:sz w:val="22"/>
                <w:szCs w:val="22"/>
              </w:rPr>
            </w:pPr>
            <w:r>
              <w:rPr>
                <w:rFonts w:ascii="Trebuchet MS" w:hAnsi="Trebuchet MS"/>
                <w:sz w:val="22"/>
                <w:szCs w:val="22"/>
                <w:lang w:val="en-US" w:eastAsia="en-US" w:bidi="ar-SA"/>
              </w:rPr>
              <w:t>Dacă aș dori să depun un proiect pe programul Tranziție Justă Micro, este acceptat în program pentru loc de implementare, pe lângă contract de chirie/comodat/superficie, un act adițional, în caz dacă proprietarul este de acord, să nu plătesc chirie decât după aprobarea proiectului?</w:t>
            </w:r>
          </w:p>
        </w:tc>
        <w:tc>
          <w:tcPr>
            <w:tcW w:w="5113"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În Ghidul Solicitantului pentru componenta menționată, cap. 5.2 Cerințe privind eligibilitatea proiectului, pct. 3, este prevăzută următoarea condiție de eligibilitate: “În situația unei cereri de finanțare care presupune înființarea unui sediu secundar ca urmare a realizării proiectului, solicitantul se va angaja (prin Declarația unică) ca, până la prima plată a ajutorului, dar nu mai târziu de finalizarea implementării proiectului, să înregistreze locul de implementare ca sediu principal/secundar în zona vizată de apel. Dacă solicitantul are deja sediul/punctul de lucru înregistrat și autorizat în zona vizată de apel, dar la acea locație nu a desfășurat activitate economică, sunt eligibile doar proiectele de investiții care nu presupun doar achiziția de echipamente sau dotări. Astfel dacă la sediu/punctul de lucru nu s-a desfășurat activitate economică, acesta va fi tratat ca un punct de lucru nou, caz în care proiectul promovat trebuie să vizeze investiții în infrastructură.”</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Ghidul Solicitantului pentru componenta menționată, cap. 5.1.2, pct. 5, secțiunea A, prevede următoarele: “pentru proiectele de investiții pentru care este necesară obținerea autorizației de construire, solicitantul de finanțare trebuie să facă dovada unui drept real principal asupra bunurilor imobile (teren și/sau clădiri) care fac obiectul cererii de finanţare în etapa de contractare, respectiv nu mai târziu de semnarea contractului de finanțare. În situația în care, în etapa de contractare, beneficiarul nu demonstrează că este titularul dreptului real principal, cererea de finanţare este respinsă.”</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Având în vedere prevederile Ghidului solicitantului, un proiect care presupune înființarea unui sediu secundar ca urmare a realizării proiectului, care trebuie să vizeze investiții în infrastructură, nu se poate implementa în baza unui contract de comodat.</w:t>
            </w:r>
          </w:p>
        </w:tc>
      </w:tr>
      <w:tr>
        <w:trPr>
          <w:trHeight w:val="227" w:hRule="atLeast"/>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11</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23306</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0"/>
              <w:jc w:val="both"/>
              <w:rPr>
                <w:rFonts w:ascii="Trebuchet MS" w:hAnsi="Trebuchet MS"/>
                <w:sz w:val="22"/>
                <w:szCs w:val="22"/>
              </w:rPr>
            </w:pPr>
            <w:r>
              <w:rPr>
                <w:rFonts w:ascii="Trebuchet MS" w:hAnsi="Trebuchet MS"/>
                <w:sz w:val="22"/>
                <w:szCs w:val="22"/>
                <w:lang w:val="en-US" w:eastAsia="en-US" w:bidi="ar-SA"/>
              </w:rPr>
              <w:t>În baza Certificatului de urbanism anexat, imobilul vizat pentru implementarea proiectului este clădirea C1, care figurează în documente cu destinația casă de locuit, iar proprietarul este o persoană juridică (societate comercială înregistrată cu scop economic).</w:t>
              <w:br/>
              <w:t>Întrebarea noastră este următoarea: În contextul actual al destinației imobilului („casă de locuit”) conform Certificatului de urbanism, este eligibilă această locație pentru desfășurarea unei activități economice finanțabile prin apelul Tranziție Justă pentru microîntreprinderi, având în vedere că solicitantul intenționează să transforme clădirea respectivă în spațiu destinat serviciilor de cazare și să deruleze o activitate economică în acest sens? Menționăm că în atașament regăsiți Certificatul de urbanism și extrasul CF aferent locației.</w:t>
            </w:r>
          </w:p>
        </w:tc>
        <w:tc>
          <w:tcPr>
            <w:tcW w:w="5113"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În cazul depunerii unui proiect care presupune lucrări de construcție pentru care este necesară emiterea unei autorizații de construire, trebuie să aveți în vedere respectarea tuturor criteriilor de eligibilitate aplicabile proiectelor pentru care este necesară emiterea autorizației de construire, conform prevederilor capitolului 5. Criterii de eligibilitate din Ghidul solicitantului, inclusiv absența sarcinilor care sunt incompatibile cu realizarea activităților proiectului.</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Din documentele transmise se observă că în extrasul CF sunt menționate sarcini.</w:t>
              <w:br/>
              <w:t>În ceea ce privește Certificatul de urbanism, în termen de valabilitate, menționăm faptul că acesta trebuie să fie emis în vederea obținerii autorizației de construire pentru investiția propusă prin proiect.</w:t>
            </w:r>
          </w:p>
        </w:tc>
      </w:tr>
      <w:tr>
        <w:trPr>
          <w:trHeight w:val="227" w:hRule="atLeast"/>
        </w:trPr>
        <w:tc>
          <w:tcPr>
            <w:tcW w:w="13405" w:type="dxa"/>
            <w:gridSpan w:val="5"/>
            <w:tcBorders/>
            <w:shd w:color="auto" w:fill="D9D9D9" w:themeFill="background1" w:themeFillShade="d9" w:val="clear"/>
          </w:tcPr>
          <w:p>
            <w:pPr>
              <w:pStyle w:val="NormalWeb"/>
              <w:widowControl/>
              <w:spacing w:before="0" w:after="0"/>
              <w:jc w:val="both"/>
              <w:rPr>
                <w:rFonts w:ascii="Trebuchet MS" w:hAnsi="Trebuchet MS"/>
                <w:b/>
                <w:bCs/>
                <w:sz w:val="22"/>
                <w:szCs w:val="22"/>
              </w:rPr>
            </w:pPr>
            <w:r>
              <w:rPr>
                <w:rFonts w:ascii="Trebuchet MS" w:hAnsi="Trebuchet MS"/>
                <w:b/>
                <w:bCs/>
                <w:sz w:val="22"/>
                <w:szCs w:val="22"/>
                <w:lang w:val="en-US" w:eastAsia="en-US" w:bidi="ar-SA"/>
              </w:rPr>
              <w:t>ADR SUD VEST OLTENIA</w:t>
            </w:r>
          </w:p>
        </w:tc>
      </w:tr>
      <w:tr>
        <w:trPr>
          <w:trHeight w:val="227" w:hRule="atLeast"/>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1</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13363/10.03.2025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0"/>
              <w:jc w:val="both"/>
              <w:rPr>
                <w:rFonts w:ascii="Trebuchet MS" w:hAnsi="Trebuchet MS"/>
                <w:sz w:val="22"/>
                <w:szCs w:val="22"/>
              </w:rPr>
            </w:pPr>
            <w:r>
              <w:rPr>
                <w:rFonts w:ascii="Trebuchet MS" w:hAnsi="Trebuchet MS"/>
                <w:sz w:val="22"/>
                <w:szCs w:val="22"/>
                <w:lang w:val="en-US" w:eastAsia="en-US" w:bidi="ar-SA"/>
              </w:rPr>
              <w:t>Vă rugăm a ne comunica dacă în cadrul componentei „Sprijin pentru creșterea durabilă a microîntreprinderilor și crearea de locuri de muncă” finanțate prin PTJ este eligibilă achiziția de utilaje de construcții de tip excavator (clasa 2.1.20.1 din catalogul mijloacelor fixe) alimentat cu combustibil clasic (motorină) sau există vreo restricție cum că ar trebui să fie electrice / hibride.</w:t>
            </w:r>
          </w:p>
        </w:tc>
        <w:tc>
          <w:tcPr>
            <w:tcW w:w="5113"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Utilajele mobile non rutiere de tipul buldozere, excavatoare și alte utilaje autopropulsate, nu sunt eligibile, ca urmare a aplicării art. 9, lit. d) din Regulamentul 1056 / 2021, în cazul în care sunt propulsate de motoare care folosesc arderea combustibililor fosili (inclusiv în sistem hibrid). Această prevedere se aplică tuturor apelurilor de proiecte din cadrul Programului Tranziție Justă.</w:t>
              <w:br/>
              <w:t>Pentru informații actualizate privind apelurile de proiecte din cadrul Programului Tranziție Justă, puteți consulta periodic:</w:t>
            </w:r>
          </w:p>
          <w:p>
            <w:pPr>
              <w:pStyle w:val="NormalWeb"/>
              <w:widowControl/>
              <w:numPr>
                <w:ilvl w:val="0"/>
                <w:numId w:val="19"/>
              </w:numPr>
              <w:spacing w:before="280" w:after="0"/>
              <w:jc w:val="both"/>
              <w:rPr>
                <w:rFonts w:ascii="Trebuchet MS" w:hAnsi="Trebuchet MS"/>
                <w:sz w:val="22"/>
                <w:szCs w:val="22"/>
              </w:rPr>
            </w:pPr>
            <w:r>
              <w:rPr>
                <w:rFonts w:ascii="Trebuchet MS" w:hAnsi="Trebuchet MS"/>
                <w:sz w:val="22"/>
                <w:szCs w:val="22"/>
                <w:lang w:val="en-US" w:eastAsia="en-US" w:bidi="ar-SA"/>
              </w:rPr>
              <w:t xml:space="preserve">pagina de internet a Ministerului Investițiilor și Proiectelor Europene, </w:t>
            </w:r>
            <w:hyperlink r:id="rId18" w:tgtFrame="_new">
              <w:r>
                <w:rPr>
                  <w:rStyle w:val="Hyperlink"/>
                  <w:rFonts w:eastAsia="" w:ascii="Trebuchet MS" w:hAnsi="Trebuchet MS" w:eastAsiaTheme="majorEastAsia"/>
                  <w:sz w:val="22"/>
                  <w:szCs w:val="22"/>
                  <w:lang w:val="en-US" w:eastAsia="en-US" w:bidi="ar-SA"/>
                </w:rPr>
                <w:t>https://mfe.gov.ro/ptj/ghiduri/</w:t>
              </w:r>
            </w:hyperlink>
            <w:r>
              <w:rPr>
                <w:rFonts w:ascii="Trebuchet MS" w:hAnsi="Trebuchet MS"/>
                <w:sz w:val="22"/>
                <w:szCs w:val="22"/>
                <w:lang w:val="en-US" w:eastAsia="en-US" w:bidi="ar-SA"/>
              </w:rPr>
              <w:t xml:space="preserve"> ;</w:t>
            </w:r>
          </w:p>
          <w:p>
            <w:pPr>
              <w:pStyle w:val="NormalWeb"/>
              <w:widowControl/>
              <w:numPr>
                <w:ilvl w:val="0"/>
                <w:numId w:val="19"/>
              </w:numPr>
              <w:spacing w:before="0" w:after="280"/>
              <w:jc w:val="both"/>
              <w:rPr>
                <w:rFonts w:ascii="Trebuchet MS" w:hAnsi="Trebuchet MS"/>
                <w:sz w:val="22"/>
                <w:szCs w:val="22"/>
              </w:rPr>
            </w:pPr>
            <w:r>
              <w:rPr>
                <w:rFonts w:ascii="Trebuchet MS" w:hAnsi="Trebuchet MS"/>
                <w:sz w:val="22"/>
                <w:szCs w:val="22"/>
                <w:lang w:val="en-US" w:eastAsia="en-US" w:bidi="ar-SA"/>
              </w:rPr>
              <w:t xml:space="preserve">pagina de internet a Agenției pentru Dezvoltare Regională Sud-Vest Oltenia: </w:t>
            </w:r>
            <w:hyperlink r:id="rId19" w:tgtFrame="_new">
              <w:r>
                <w:rPr>
                  <w:rStyle w:val="Hyperlink"/>
                  <w:rFonts w:eastAsia="" w:ascii="Trebuchet MS" w:hAnsi="Trebuchet MS" w:eastAsiaTheme="majorEastAsia"/>
                  <w:sz w:val="22"/>
                  <w:szCs w:val="22"/>
                  <w:lang w:val="en-US" w:eastAsia="en-US" w:bidi="ar-SA"/>
                </w:rPr>
                <w:t>https://ptj2021-2027.adroltenia.ro/apeluri-lansate/</w:t>
              </w:r>
            </w:hyperlink>
            <w:r>
              <w:rPr>
                <w:rFonts w:ascii="Trebuchet MS" w:hAnsi="Trebuchet MS"/>
                <w:sz w:val="22"/>
                <w:szCs w:val="22"/>
                <w:lang w:val="en-US" w:eastAsia="en-US" w:bidi="ar-SA"/>
              </w:rPr>
              <w:t xml:space="preserve"> ; </w:t>
            </w:r>
            <w:hyperlink r:id="rId20" w:tgtFrame="_new">
              <w:r>
                <w:rPr>
                  <w:rStyle w:val="Hyperlink"/>
                  <w:rFonts w:eastAsia="" w:ascii="Trebuchet MS" w:hAnsi="Trebuchet MS" w:eastAsiaTheme="majorEastAsia"/>
                  <w:sz w:val="22"/>
                  <w:szCs w:val="22"/>
                  <w:lang w:val="en-US" w:eastAsia="en-US" w:bidi="ar-SA"/>
                </w:rPr>
                <w:t>https://ptj2021-2027.adroltenia.ro/ghiduri-in-consultare/</w:t>
              </w:r>
            </w:hyperlink>
            <w:r>
              <w:rPr>
                <w:rFonts w:ascii="Trebuchet MS" w:hAnsi="Trebuchet MS"/>
                <w:sz w:val="22"/>
                <w:szCs w:val="22"/>
                <w:lang w:val="en-US" w:eastAsia="en-US" w:bidi="ar-SA"/>
              </w:rPr>
              <w:t>.</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r>
          </w:p>
        </w:tc>
      </w:tr>
      <w:tr>
        <w:trPr>
          <w:trHeight w:val="227" w:hRule="atLeast"/>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2</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FN/03.04.2025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0"/>
              <w:jc w:val="both"/>
              <w:rPr>
                <w:rFonts w:ascii="Trebuchet MS" w:hAnsi="Trebuchet MS"/>
                <w:sz w:val="22"/>
                <w:szCs w:val="22"/>
              </w:rPr>
            </w:pPr>
            <w:r>
              <w:rPr>
                <w:rFonts w:ascii="Trebuchet MS" w:hAnsi="Trebuchet MS"/>
                <w:sz w:val="22"/>
                <w:szCs w:val="22"/>
                <w:lang w:val="en-US" w:eastAsia="en-US" w:bidi="ar-SA"/>
              </w:rPr>
              <w:t>Vă rog să îmi comunicați și mie dacă CAEN-ul - 8690 „Alte activități referitoare la sănătatea umană” este eligibil pentru Programul PTJ - Microîntreprinderi, apel ce urmează a fi deschis în perioada imediat următoare.Menționez că activitatea se va desfășura în Municipiul Craiova și ar fi interesată de o finanțare privind achiziția de aparatură medicală.</w:t>
            </w:r>
          </w:p>
        </w:tc>
        <w:tc>
          <w:tcPr>
            <w:tcW w:w="5113"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Referitor la solicitarea dvs., vă aducem la cunoștință următoarele informații:</w:t>
              <w:br/>
              <w:t>A fost publicat Ordinul nr. 654/2025 al ministrului investițiilor și proiectelor europene, privind aprobarea Schemei de măsuri de ajutor de minimis având ca obiectiv dezvoltarea microîntreprinderilor prin acordarea de sprijin pentru creșterea durabilă și crearea de locuri de muncă în cadrul Programului Tranziție Justă 2021-2027.</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Schema are ca scop finanțarea dezvoltării microîntreprinderilor prin acordarea de sprijin pentru creșterea durabilă și crearea de locuri de muncă în zonele vizate de PTJ (județele Gorj, Hunedoara, Dolj, Galați, Prahova și Mureș), în vederea atenuării impactului socio-economic al tranziției la neutralitatea climatică.</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Ordinul 654/2025 și Schema de măsuri de ajutor de minimis au fost postate pe site-ul ADR SV Oltenia, secțiunea dedicată programului PTJ:</w:t>
              <w:br/>
            </w:r>
            <w:hyperlink r:id="rId21" w:tgtFrame="_new">
              <w:r>
                <w:rPr>
                  <w:rStyle w:val="Hyperlink"/>
                  <w:rFonts w:eastAsia="" w:ascii="Trebuchet MS" w:hAnsi="Trebuchet MS" w:eastAsiaTheme="majorEastAsia"/>
                  <w:sz w:val="22"/>
                  <w:szCs w:val="22"/>
                  <w:lang w:val="en-US" w:eastAsia="en-US" w:bidi="ar-SA"/>
                </w:rPr>
                <w:t>https://ptj2021-2027.adroltenia.ro/schema-de-minimis-privind-dezvoltarea-microintreprinderilor-aprobata/</w:t>
              </w:r>
            </w:hyperlink>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În conformitate cu prevederile Schemei de ajutor de minimis, art. 5:</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(1) Schema de ajutor de minimis se adresează microîntreprinderilor care solicită finanțare pentru proiecte care sunt în domenii de activitate care nu sunt excluse de regulamentele aplicabile, în conformitate cu anexa nr. 1 la prezenta schemă.</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(2) Prin schema de ajutor de minimis nu se acordă sprijin microîntreprinderilor care solicită finanțare pentru domeniile de activitate excluse și clase CAEN neeligibile, conform anexei nr. 1 și anexei nr. 2.</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(3) Prezenta schemă nu se aplică:</w:t>
              <w:br/>
              <w:t>a) ajutoarelor acordate întreprinderilor care își desfășoară activitatea în domeniul producției primare de produse pescărești și de acvacultură;</w:t>
              <w:br/>
              <w:t>b) ajutoarelor acordate întreprinderilor care desfășoară activități de prelucrare și comercializare a produselor pescărești și de acvacultură, în cazul în care cuantumul ajutoarelor este stabilit pe baza prețului sau a cantității de produse achiziționate sau introduse pe piață;</w:t>
              <w:br/>
              <w:t>c) ajutoarelor acordate întreprinderilor care își desfășoară activitatea în domeniul producției primare de produse agricole;</w:t>
              <w:br/>
              <w:t>d) ajutoarelor acordate întreprinderilor care desfășoară activități de prelucrare și comercializare a produselor agricole, în unul din următoarele cazuri:</w:t>
              <w:br/>
              <w:t>(i) atunci când valoarea ajutoarelor este stabilită pe baza prețului sau a cantității de produse de acest tip achiziționate de la producători primari sau introduse pe piață de întreprinderile respective;</w:t>
              <w:br/>
              <w:t>(ii) atunci când ajutoarele sunt condiționate de transferarea lor parțială sau integrală către producătorii primari;</w:t>
              <w:br/>
              <w:t>e) ajutoarelor destinate activităților legate de export către țări terțe sau către alte state membre, respectiv ajutoarelor direct legate de cantitățile exportate, ajutoarelor destinate înființării și funcționării unei rețele de distribuție sau destinate altor cheltuieli curente legate de activitatea de export;</w:t>
              <w:br/>
              <w:t>f) ajutoarelor condiționate de utilizarea preferențială a bunurilor și serviciilor naționale față de bunurile și serviciile importate.</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(4) În cazul în care o întreprindere își desfășoară activitatea atât în sectoarele mai sus menționate, cât și în unul sau mai multe sectoare sau domenii de activitate eligibile pentru ajutorul de minimis, solicitantul trebuie să se asigure, prin mijloace corespunzătoare, precum separarea activităților sau o distincție între conturi, că activitățile desfășurate în sectoarele excluse din domeniul de aplicare al regulamentului de minimis nu beneficiază de ajutor de minimis.</w:t>
            </w:r>
          </w:p>
        </w:tc>
      </w:tr>
      <w:tr>
        <w:trPr>
          <w:trHeight w:val="227" w:hRule="atLeast"/>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3</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22625/14.04.2025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Dorim să solicităm o clarificare în cadrul Priorităților 1-6, componenta „Sprijin pentru creșterea durabilă a microîntreprinderilor și crearea de locuri de muncă” cu privire la criteriul conform căruia „Solicitantul a înregistrat un număr mediu de salariați de cel puțin 1 în anul fiscal anterior deschiderii apelului de proiecte”. În mod specific, avem următoarele întrebări:</w:t>
            </w:r>
          </w:p>
          <w:p>
            <w:pPr>
              <w:pStyle w:val="NormalWeb"/>
              <w:widowControl/>
              <w:spacing w:before="28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1.Interpretarea numărului mediu de salariați:</w:t>
            </w:r>
            <w:r>
              <w:rPr>
                <w:rFonts w:ascii="Trebuchet MS" w:hAnsi="Trebuchet MS"/>
                <w:sz w:val="22"/>
                <w:szCs w:val="22"/>
                <w:lang w:val="en-US" w:eastAsia="en-US" w:bidi="ar-SA"/>
              </w:rPr>
              <w:br/>
              <w:t>o Ce interval de timp este luat în considerare în calculul acestui indicator? Este necesar ca solicitantul să fi avut salariați activi pe parcursul întregului an fiscal anterior, sau este suficient ca, în medie, să existe cel puțin un salariat (chiar dacă nu pe toată perioada)?</w:t>
            </w:r>
          </w:p>
          <w:p>
            <w:pPr>
              <w:pStyle w:val="NormalWeb"/>
              <w:widowControl/>
              <w:spacing w:before="28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2.Metodologia de calcul:</w:t>
            </w:r>
            <w:r>
              <w:rPr>
                <w:rFonts w:ascii="Trebuchet MS" w:hAnsi="Trebuchet MS"/>
                <w:sz w:val="22"/>
                <w:szCs w:val="22"/>
                <w:lang w:val="en-US" w:eastAsia="en-US" w:bidi="ar-SA"/>
              </w:rPr>
              <w:br/>
              <w:t>o Este acceptabil ca numărul mediu de salariați să fie rotunjit conform regulilor de raportare din bilanț? În cazul în care numărul calculat este subunitar (ex: 0,58), cum trebuie raportat acest indicator?</w:t>
            </w:r>
          </w:p>
          <w:p>
            <w:pPr>
              <w:pStyle w:val="NormalWeb"/>
              <w:widowControl/>
              <w:spacing w:before="28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3.Eligibilitatea în cazul angajării parțiale:</w:t>
            </w:r>
            <w:r>
              <w:rPr>
                <w:rFonts w:ascii="Trebuchet MS" w:hAnsi="Trebuchet MS"/>
                <w:sz w:val="22"/>
                <w:szCs w:val="22"/>
                <w:lang w:val="en-US" w:eastAsia="en-US" w:bidi="ar-SA"/>
              </w:rPr>
              <w:br/>
              <w:t>o Dacă solicitantul a avut un angajat pe o perioadă mai scurtă (ex: 7 luni), dar numărul mediu calculat rotunjit indică 1 salariat, aceasta respectă cerința de eligibilitate?</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Vă rugăm să ne oferiți o clarificare în acest sens pentru a ne asigura că înregistrăm toate informațiile corect în aplicația noastră.</w:t>
            </w:r>
          </w:p>
        </w:tc>
        <w:tc>
          <w:tcPr>
            <w:tcW w:w="5113"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Ca răspuns la solicitarea dvs., vă aducem la cunoștință următoarele informații:</w:t>
              <w:br/>
              <w:t>A fost publicat Ordinul nr. 654/2025 al ministrului investițiilor și proiectelor europene, privind aprobarea Schemei de măsuri de ajutor de minimis având ca obiectiv dezvoltarea microîntreprinderilor prin acordarea de sprijin pentru creșterea durabilă și crearea de locuri de muncă în cadrul Programului Tranziție Justă 2021-2027.</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Schema are ca scop finanțarea dezvoltării microîntreprinderilor prin acordarea de sprijin pentru creșterea durabilă și crearea de locuri de muncă în zonele vizate de PTJ (județele Gorj, Hunedoara, Dolj, Galați, Prahova și Mureș), în vederea atenuării impactului socio-economic al tranziției la neutralitatea climatică.</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 xml:space="preserve">Ordinul 654/2025 și Schema de măsuri de ajutor de minimis au fost postate pe site-ul ADR SV Oltenia, secțiunea dedicată programului PTJ: </w:t>
            </w:r>
            <w:hyperlink r:id="rId22" w:tgtFrame="_new">
              <w:r>
                <w:rPr>
                  <w:rStyle w:val="Hyperlink"/>
                  <w:rFonts w:eastAsia="" w:ascii="Trebuchet MS" w:hAnsi="Trebuchet MS" w:eastAsiaTheme="majorEastAsia"/>
                  <w:sz w:val="22"/>
                  <w:szCs w:val="22"/>
                  <w:lang w:val="en-US" w:eastAsia="en-US" w:bidi="ar-SA"/>
                </w:rPr>
                <w:t>https://ptj2021-2027.adroltenia.ro/schema-de-minimis-privind-dezvoltarea-microintreprinderilor-aprobata/</w:t>
              </w:r>
            </w:hyperlink>
            <w:r>
              <w:rPr>
                <w:rFonts w:ascii="Trebuchet MS" w:hAnsi="Trebuchet MS"/>
                <w:sz w:val="22"/>
                <w:szCs w:val="22"/>
                <w:lang w:val="en-US" w:eastAsia="en-US" w:bidi="ar-SA"/>
              </w:rPr>
              <w:t>.</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În conformitate cu prevederile Capitolului V „Beneficiari și condiții de eligibilitate”, beneficiarii ajutorului de minimis sunt societăți comerciale sau societăți cooperative care se încadrează în categoria microîntreprinderilor, cu respectarea cumulativă a următoarelor condiții:</w:t>
              <w:br/>
              <w:t>....................</w:t>
              <w:br/>
              <w:t>să aibă un număr mediu de salariați începând de la 0 angajați, fără a lua în calcul funcția de administrator sau asociat în anul fiscal anterior deschiderii apelului de proiecte.</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Vă stăm la dispoziție pentru orice alte informații.</w:t>
            </w:r>
          </w:p>
        </w:tc>
      </w:tr>
      <w:tr>
        <w:trPr>
          <w:trHeight w:val="227" w:hRule="atLeast"/>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4</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22654/14.04.2025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În bilanțul pentru anul fiscal 2024, estimăm pentru prima dată o depășire a pragului de 2 milioane EUR la activele totale. În acest context, dorim să înțelegem dacă această situație poate duce la pierderea statutului de microîntreprindere și implică efecte asupra eligibilității noastre în cadrul Programului Tranziție Justă.</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În mod specific, dorim să clarificăm următoarele:</w:t>
              <w:br/>
              <w:t>• Regula celor doi ani consecutivi: Este necesar ca depășirea pragului de 2 milioane EUR la active să fie prezentă în doi ani fiscali consecutivi (ex.: 2023 și 2024) pentru ca firma să piardă statutul de microîntreprindere?</w:t>
              <w:br/>
              <w:t>• Menținerea altor criterii: Dacă numărul de salariați și cifra de afaceri rămân în limitele specifice microîntreprinderilor, este afectat statutul nostru doar din cauza depășirii pragului de active în bilanțul 2024?</w:t>
            </w:r>
          </w:p>
        </w:tc>
        <w:tc>
          <w:tcPr>
            <w:tcW w:w="5113"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În conformitate cu Legea 346/2024 privind stimularea înfiinţării şi dezvoltării întreprinderilor mici şi mijlocii:</w:t>
            </w:r>
          </w:p>
          <w:p>
            <w:pPr>
              <w:pStyle w:val="NormalWeb"/>
              <w:widowControl/>
              <w:spacing w:before="28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Art. 6</w:t>
            </w:r>
            <w:r>
              <w:rPr>
                <w:rFonts w:ascii="Trebuchet MS" w:hAnsi="Trebuchet MS"/>
                <w:sz w:val="22"/>
                <w:szCs w:val="22"/>
                <w:lang w:val="en-US" w:eastAsia="en-US" w:bidi="ar-SA"/>
              </w:rPr>
              <w:br/>
              <w:t>(2) Dacă la data întocmirii situaţiilor financiare anuale întreprinderea nu se mai încadrează în plafoanele stabilite la art. 3 şi 4, aceasta nu îşi va pierde calitatea de întreprindere mică, mijlocie sau microîntreprindere decât dacă depăşirea acestor plafoane se produce în două exerciţii financiare consecutive.</w:t>
            </w:r>
          </w:p>
          <w:p>
            <w:pPr>
              <w:pStyle w:val="NormalWeb"/>
              <w:widowControl/>
              <w:spacing w:before="28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Art. 4.</w:t>
            </w:r>
            <w:r>
              <w:rPr>
                <w:rFonts w:ascii="Trebuchet MS" w:hAnsi="Trebuchet MS"/>
                <w:sz w:val="22"/>
                <w:szCs w:val="22"/>
                <w:lang w:val="en-US" w:eastAsia="en-US" w:bidi="ar-SA"/>
              </w:rPr>
              <w:br/>
              <w:t>(1) Întreprinderile mici şi mijlocii se clasifică, în funcţie de numărul mediu anual de salariaţi şi de cifra de afaceri anuală netă sau de activele totale pe care le deţin, în următoarele categorii:</w:t>
              <w:br/>
              <w:t>a) microîntreprinderi - au până la 9 salariaţi şi realizează o cifră de afaceri anuală netă sau deţin active totale de până la 2 milioane euro, echivalent în lei;</w:t>
              <w:br/>
              <w:t>b) întreprinderi mici - au între 10 şi 49 de salariaţi şi realizează o cifră de afaceri anuală netă sau deţin active totale de până la 10 milioane euro, echivalent în lei;</w:t>
              <w:br/>
              <w:t>c) întreprinderi mijlocii - au între 50 şi 249 de salariaţi şi realizează o cifră de afaceri anuală netă de până la 50 milioane euro, echivalent în lei, sau deţin active totale care nu depăşesc echivalentul în lei a 43 milioane euro.</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 xml:space="preserve">De asemenea, vă aducem la cunoștință că a fost publicat </w:t>
            </w:r>
            <w:r>
              <w:rPr>
                <w:rStyle w:val="Strong"/>
                <w:rFonts w:eastAsia="" w:ascii="Trebuchet MS" w:hAnsi="Trebuchet MS" w:eastAsiaTheme="majorEastAsia"/>
                <w:sz w:val="22"/>
                <w:szCs w:val="22"/>
                <w:lang w:val="en-US" w:eastAsia="en-US" w:bidi="ar-SA"/>
              </w:rPr>
              <w:t>Ordinul nr. 654/2025</w:t>
            </w:r>
            <w:r>
              <w:rPr>
                <w:rFonts w:ascii="Trebuchet MS" w:hAnsi="Trebuchet MS"/>
                <w:sz w:val="22"/>
                <w:szCs w:val="22"/>
                <w:lang w:val="en-US" w:eastAsia="en-US" w:bidi="ar-SA"/>
              </w:rPr>
              <w:t xml:space="preserve"> al ministrului investițiilor și proiectelor europene, privind aprobarea Schemei de măsuri de ajutor de minimis având ca obiectiv dezvoltarea microîntreprinderilor prin acordarea de sprijin pentru creșterea durabilă și crearea de locuri de muncă în cadrul Programului Tranziție Justă 2021-2027.</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Schema are ca scop finanțarea dezvoltării microîntreprinderilor prin acordarea de sprijin pentru creșterea durabilă și crearea de locuri de muncă în zonele vizate de PTJ (județele Gorj, Hunedoara, Dolj, Galați, Prahova și Mureș), în vederea atenuării impactului socio-economic al tranziției la neutralitatea climatică.</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Ordinul 654/2025 și Schema de măsuri de ajutor de minimis au fost postate pe site-ul ADR SV Oltenia, secțiunea dedicată programului PTJ:</w:t>
              <w:br/>
            </w:r>
            <w:hyperlink r:id="rId23">
              <w:r>
                <w:rPr>
                  <w:rStyle w:val="Hyperlink"/>
                  <w:rFonts w:eastAsia="" w:ascii="Trebuchet MS" w:hAnsi="Trebuchet MS" w:eastAsiaTheme="majorEastAsia"/>
                  <w:sz w:val="22"/>
                  <w:szCs w:val="22"/>
                  <w:lang w:val="en-US" w:eastAsia="en-US" w:bidi="ar-SA"/>
                </w:rPr>
                <w:t>https://ptj2021-2027.adroltenia.ro/schema-de-minimis-privind-dezvoltarea-microintreprinderilor-aprobata/</w:t>
              </w:r>
            </w:hyperlink>
          </w:p>
        </w:tc>
      </w:tr>
      <w:tr>
        <w:trPr>
          <w:trHeight w:val="227" w:hRule="atLeast"/>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5</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22666/14.04.2025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Vă scriem pentru a solicita o clarificare privind conformitatea Certificatului de Urbanism emis pentru proiectul nostru în cadrul Programului Tranziție Justă - Prioritățile 1-6, componenta „Sprijin pentru creșterea durabilă a microîntreprinderilor și crearea de locuri de muncă.”</w:t>
              <w:br/>
              <w:t>Certificatul de Urbanism emis specifică scopul „elaborare PUZ, întocmire DTAC și obținere avize,” iar terenul vizat este situat în extravilan, ceea ce impune procedura de urbanizare. Conform prevederilor din ghid, dorim să clarificăm următoarele: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1.Se consideră că acest certificat de urbanism, având scopul declarat conform modelului atașat, respectă cerința de a fi emis pentru obiectivele de investiție ale proiectului?</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2.Sunt necesare mențiuni suplimentare în certificatul de urbanism pentru a asigura conformitatea cu cerințele aplicabile proiectului?</w:t>
              <w:br/>
              <w:t>Apreciem sprijinul dumneavoastră în clarificarea acestui aspect pentru a ne asigura că documentația noastră este conformă cu cerințele ghidului.</w:t>
            </w:r>
          </w:p>
        </w:tc>
        <w:tc>
          <w:tcPr>
            <w:tcW w:w="5113" w:type="dxa"/>
            <w:tcBorders/>
          </w:tcPr>
          <w:p>
            <w:pPr>
              <w:pStyle w:val="NormalWeb"/>
              <w:widowControl/>
              <w:spacing w:before="0" w:after="0"/>
              <w:jc w:val="both"/>
              <w:rPr>
                <w:rFonts w:ascii="Trebuchet MS" w:hAnsi="Trebuchet MS"/>
                <w:sz w:val="22"/>
                <w:szCs w:val="22"/>
              </w:rPr>
            </w:pPr>
            <w:r>
              <w:rPr>
                <w:rFonts w:ascii="Trebuchet MS" w:hAnsi="Trebuchet MS"/>
                <w:sz w:val="22"/>
                <w:szCs w:val="22"/>
                <w:lang w:val="en-US" w:eastAsia="en-US" w:bidi="ar-SA"/>
              </w:rPr>
              <w:t>În conformitate cu prevederile ghidului solicitantului, unul dintre documentele obligatorii care trebuie să însoțească cererea de finanțare este</w:t>
              <w:br/>
              <w:t>Certificatul de urbanism, în termen de valabilitate, emis pentru obiectivele de investiție ale proiectului sau autorizația de construire, dacă există, după caz (în cazul proiectelor care implică lucrări pentru care este necesară emiterea autorizației de construire conform Legii nr. 50/1991, republicată, cu modificările și completările ulterioare).</w:t>
              <w:br/>
              <w:t>Documentul solicitat la depunere este certificatul de urbanism. Autorizația de construire se depune doar dacă există și trebuie să fie în termenul de valabilitate atât la depunere, cât și la contractare, fiind asigurată în ambele etape corespondența cu obiectivul finanțat.</w:t>
              <w:br/>
              <w:t>Analizarea cererii de finanțare și a documentelor anexă va fi realizată în etapa de evaluare și se va avea în vedere corelarea tuturor informațiilor prezentate de către un solicitant.</w:t>
              <w:br/>
              <w:t>Menționăm de asemenea că beneficiarul are obligația și responsabilitatea să asigure managementul și implementarea proiectului în concordanță cu prevederile contractului de finanțare, ale legislației europene și naționale aplicabile.</w:t>
            </w:r>
          </w:p>
        </w:tc>
      </w:tr>
      <w:tr>
        <w:trPr>
          <w:trHeight w:val="227" w:hRule="atLeast"/>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6</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FN/15.04.2025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0"/>
              <w:jc w:val="both"/>
              <w:rPr>
                <w:rFonts w:ascii="Trebuchet MS" w:hAnsi="Trebuchet MS"/>
                <w:sz w:val="22"/>
                <w:szCs w:val="22"/>
              </w:rPr>
            </w:pPr>
            <w:r>
              <w:rPr>
                <w:rFonts w:ascii="Trebuchet MS" w:hAnsi="Trebuchet MS"/>
                <w:sz w:val="22"/>
                <w:szCs w:val="22"/>
                <w:lang w:val="en-US" w:eastAsia="en-US" w:bidi="ar-SA"/>
              </w:rPr>
              <w:t>Dacă în anul 2024 firma noastră are sub 9 salariați, o cifră de afaceri sub 2 milioane EUR, dar active totale care depășesc pragul de 2 milioane EUR, și în anul 2025 păstrăm aceleași condiții pentru salariați și cifră de afaceri, iar activele continuă să crească, se pierde statutul de microîntreprindere?</w:t>
            </w:r>
          </w:p>
        </w:tc>
        <w:tc>
          <w:tcPr>
            <w:tcW w:w="5113"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Așa cum am precizat în mesajul anterior:</w:t>
              <w:br/>
              <w:t>În conformitate cu Legea 346/2024 privind stimularea înființării și dezvoltării întreprinderilor mici și mijlocii:</w:t>
            </w:r>
          </w:p>
          <w:p>
            <w:pPr>
              <w:pStyle w:val="NormalWeb"/>
              <w:widowControl/>
              <w:spacing w:before="28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Art. 6</w:t>
            </w:r>
            <w:r>
              <w:rPr>
                <w:rFonts w:ascii="Trebuchet MS" w:hAnsi="Trebuchet MS"/>
                <w:sz w:val="22"/>
                <w:szCs w:val="22"/>
                <w:lang w:val="en-US" w:eastAsia="en-US" w:bidi="ar-SA"/>
              </w:rPr>
              <w:br/>
              <w:t>(2) Dacă la data întocmirii situațiilor financiare anuale întreprinderea nu se mai încadrează în plafoanele stabilite la art. 3 și 4, aceasta nu își va pierde calitatea de întreprindere mică, mijlocie sau microîntreprindere decât dacă depășirea acestor plafoane se produce în două exerciții financiare consecutive.</w:t>
            </w:r>
          </w:p>
          <w:p>
            <w:pPr>
              <w:pStyle w:val="NormalWeb"/>
              <w:widowControl/>
              <w:spacing w:before="28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Art. 4 (1)</w:t>
            </w:r>
            <w:r>
              <w:rPr>
                <w:rFonts w:ascii="Trebuchet MS" w:hAnsi="Trebuchet MS"/>
                <w:sz w:val="22"/>
                <w:szCs w:val="22"/>
                <w:lang w:val="en-US" w:eastAsia="en-US" w:bidi="ar-SA"/>
              </w:rPr>
              <w:t xml:space="preserve"> Întreprinderile mici și mijlocii se clasifică, în funcție de numărul mediu anual de salariați și de cifra de afaceri anuală netă sau de activele totale pe care le dețin, în următoarele categorii:</w:t>
              <w:br/>
              <w:t>a) microîntreprinderi – au până la 9 salariați și realizează o cifră de afaceri anuală netă sau dețin active totale de până la 2 milioane euro, echivalent în lei;</w:t>
              <w:br/>
              <w:t>b) întreprinderi mici – au între 10 și 49 de salariați și realizează o cifră de afaceri anuală netă sau dețin active totale de până la 10 milioane euro, echivalent în lei;</w:t>
              <w:br/>
              <w:t>c) întreprinderi mijlocii – au între 50 și 249 de salariați și realizează o cifră de afaceri anuală netă de până la 50 milioane euro, echivalent în lei, sau dețin active totale care nu depășesc echivalentul în lei a 43 milioane euro.</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În consecință, puteți să vă raportați fie la cifra de afaceri anuală netă, fie la activele totale. În ceea ce privește numărul de angajați, acesta trebuie să se încadreze în condițiile de mai sus.</w:t>
            </w:r>
          </w:p>
        </w:tc>
      </w:tr>
      <w:tr>
        <w:trPr>
          <w:trHeight w:val="227" w:hRule="atLeast"/>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7</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23963/22.04.2025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w:t>
            </w:r>
            <w:r>
              <w:rPr>
                <w:rFonts w:ascii="Trebuchet MS" w:hAnsi="Trebuchet MS"/>
                <w:sz w:val="22"/>
                <w:szCs w:val="22"/>
                <w:lang w:val="en-US" w:eastAsia="en-US" w:bidi="ar-SA"/>
              </w:rPr>
              <w:t>vă adresez rugămintea de a-mi furniza informații privind posibilitatea de a accesa fonduri (programul de Tranziție Justă sau alte programe de finanțare), având în vedere că terenul se află în posesia mea.</w:t>
            </w:r>
          </w:p>
          <w:p>
            <w:pPr>
              <w:pStyle w:val="NormalWeb"/>
              <w:widowControl/>
              <w:spacing w:before="28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Mențiune:</w:t>
            </w:r>
            <w:r>
              <w:rPr>
                <w:rFonts w:ascii="Trebuchet MS" w:hAnsi="Trebuchet MS"/>
                <w:sz w:val="22"/>
                <w:szCs w:val="22"/>
                <w:lang w:val="en-US" w:eastAsia="en-US" w:bidi="ar-SA"/>
              </w:rPr>
              <w:t xml:space="preserve"> terenul urmează să fie achiziționat în numele unei societăți comerciale a cărei administrator sunt.</w:t>
              <w:br/>
            </w:r>
            <w:r>
              <w:rPr>
                <w:rStyle w:val="Strong"/>
                <w:rFonts w:eastAsia="" w:ascii="Trebuchet MS" w:hAnsi="Trebuchet MS" w:eastAsiaTheme="majorEastAsia"/>
                <w:sz w:val="22"/>
                <w:szCs w:val="22"/>
                <w:lang w:val="en-US" w:eastAsia="en-US" w:bidi="ar-SA"/>
              </w:rPr>
              <w:t>Mențiune:</w:t>
            </w:r>
            <w:r>
              <w:rPr>
                <w:rFonts w:ascii="Trebuchet MS" w:hAnsi="Trebuchet MS"/>
                <w:sz w:val="22"/>
                <w:szCs w:val="22"/>
                <w:lang w:val="en-US" w:eastAsia="en-US" w:bidi="ar-SA"/>
              </w:rPr>
              <w:t xml:space="preserve"> posesia ca stare de fapt exprimă exercitarea în fapt a tuturor prerogativelor dreptului de proprietate (posesie, folosință și dispoziție).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 xml:space="preserve">Aș dori să știu dacă deținerea terenului mă face eligibil pentru obținerea unor fonduri în vederea </w:t>
            </w:r>
            <w:r>
              <w:rPr>
                <w:rStyle w:val="Strong"/>
                <w:rFonts w:eastAsia="" w:ascii="Trebuchet MS" w:hAnsi="Trebuchet MS" w:eastAsiaTheme="majorEastAsia"/>
                <w:sz w:val="22"/>
                <w:szCs w:val="22"/>
                <w:lang w:val="en-US" w:eastAsia="en-US" w:bidi="ar-SA"/>
              </w:rPr>
              <w:t>„Construcție centru educațional și pensiune agroturistică”</w:t>
            </w:r>
            <w:r>
              <w:rPr>
                <w:rFonts w:ascii="Trebuchet MS" w:hAnsi="Trebuchet MS"/>
                <w:sz w:val="22"/>
                <w:szCs w:val="22"/>
                <w:lang w:val="en-US" w:eastAsia="en-US" w:bidi="ar-SA"/>
              </w:rPr>
              <w:t>.</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Atașez alăturat extrasul de Carte Funciară pentru terenul ce urmează a fi achiziționat.</w:t>
            </w:r>
          </w:p>
        </w:tc>
        <w:tc>
          <w:tcPr>
            <w:tcW w:w="5113"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Ca urmare a solicitărilor dvs., vă aducem la cunoștință următoarele informații:</w:t>
              <w:br/>
              <w:t>Pentru a fi eligibil, un proiect trebuie să îndeplinească toate condițiile prevăzute în ghidul solicitantului.</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În capitolul 5.1.2 „Categorii de solicitanți eligibili”, pct. 6, sunt menționate următoarele:</w:t>
              <w:br/>
              <w:t>Demonstrarea drepturilor asupra imobilului/imobilelor, asociat(e) proiectului, necesare pentru obținerea autorizației de construire pentru construcții definitive/provizorii, după caz, în conformitate cu prevederile Legii nr. 50/1991, republicată, privind autorizarea executării lucrărilor de construcție, cu modificările și completările ulterioare, în condițiile prevăzute de Ghidul solicitantului și prevederile legale aplicabile.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În conformitate cu prevederile Codului Civil, art. 551, drepturile reale aplicabile în cadrul prezentului ghid sunt:</w:t>
            </w:r>
          </w:p>
          <w:p>
            <w:pPr>
              <w:pStyle w:val="NormalWeb"/>
              <w:widowControl/>
              <w:numPr>
                <w:ilvl w:val="0"/>
                <w:numId w:val="20"/>
              </w:numPr>
              <w:spacing w:before="280" w:after="0"/>
              <w:jc w:val="both"/>
              <w:rPr>
                <w:rFonts w:ascii="Trebuchet MS" w:hAnsi="Trebuchet MS"/>
                <w:sz w:val="22"/>
                <w:szCs w:val="22"/>
              </w:rPr>
            </w:pPr>
            <w:r>
              <w:rPr>
                <w:rFonts w:ascii="Trebuchet MS" w:hAnsi="Trebuchet MS"/>
                <w:sz w:val="22"/>
                <w:szCs w:val="22"/>
                <w:lang w:val="en-US" w:eastAsia="en-US" w:bidi="ar-SA"/>
              </w:rPr>
              <w:t>dreptul de proprietate;</w:t>
            </w:r>
          </w:p>
          <w:p>
            <w:pPr>
              <w:pStyle w:val="NormalWeb"/>
              <w:widowControl/>
              <w:numPr>
                <w:ilvl w:val="0"/>
                <w:numId w:val="20"/>
              </w:numPr>
              <w:spacing w:before="0" w:after="0"/>
              <w:jc w:val="both"/>
              <w:rPr>
                <w:rFonts w:ascii="Trebuchet MS" w:hAnsi="Trebuchet MS"/>
                <w:sz w:val="22"/>
                <w:szCs w:val="22"/>
              </w:rPr>
            </w:pPr>
            <w:r>
              <w:rPr>
                <w:rFonts w:ascii="Trebuchet MS" w:hAnsi="Trebuchet MS"/>
                <w:sz w:val="22"/>
                <w:szCs w:val="22"/>
                <w:lang w:val="en-US" w:eastAsia="en-US" w:bidi="ar-SA"/>
              </w:rPr>
              <w:t>dreptul de superficie;</w:t>
            </w:r>
          </w:p>
          <w:p>
            <w:pPr>
              <w:pStyle w:val="NormalWeb"/>
              <w:widowControl/>
              <w:numPr>
                <w:ilvl w:val="0"/>
                <w:numId w:val="20"/>
              </w:numPr>
              <w:spacing w:before="0" w:after="0"/>
              <w:jc w:val="both"/>
              <w:rPr>
                <w:rFonts w:ascii="Trebuchet MS" w:hAnsi="Trebuchet MS"/>
                <w:sz w:val="22"/>
                <w:szCs w:val="22"/>
              </w:rPr>
            </w:pPr>
            <w:r>
              <w:rPr>
                <w:rFonts w:ascii="Trebuchet MS" w:hAnsi="Trebuchet MS"/>
                <w:sz w:val="22"/>
                <w:szCs w:val="22"/>
                <w:lang w:val="en-US" w:eastAsia="en-US" w:bidi="ar-SA"/>
              </w:rPr>
              <w:t>dreptul de uzufruct;</w:t>
            </w:r>
          </w:p>
          <w:p>
            <w:pPr>
              <w:pStyle w:val="NormalWeb"/>
              <w:widowControl/>
              <w:numPr>
                <w:ilvl w:val="0"/>
                <w:numId w:val="20"/>
              </w:numPr>
              <w:spacing w:before="0" w:after="0"/>
              <w:jc w:val="both"/>
              <w:rPr>
                <w:rFonts w:ascii="Trebuchet MS" w:hAnsi="Trebuchet MS"/>
                <w:sz w:val="22"/>
                <w:szCs w:val="22"/>
              </w:rPr>
            </w:pPr>
            <w:r>
              <w:rPr>
                <w:rFonts w:ascii="Trebuchet MS" w:hAnsi="Trebuchet MS"/>
                <w:sz w:val="22"/>
                <w:szCs w:val="22"/>
                <w:lang w:val="en-US" w:eastAsia="en-US" w:bidi="ar-SA"/>
              </w:rPr>
              <w:t>dreptul de uz;</w:t>
            </w:r>
          </w:p>
          <w:p>
            <w:pPr>
              <w:pStyle w:val="NormalWeb"/>
              <w:widowControl/>
              <w:numPr>
                <w:ilvl w:val="0"/>
                <w:numId w:val="20"/>
              </w:numPr>
              <w:spacing w:before="0" w:after="0"/>
              <w:jc w:val="both"/>
              <w:rPr>
                <w:rFonts w:ascii="Trebuchet MS" w:hAnsi="Trebuchet MS"/>
                <w:sz w:val="22"/>
                <w:szCs w:val="22"/>
              </w:rPr>
            </w:pPr>
            <w:r>
              <w:rPr>
                <w:rFonts w:ascii="Trebuchet MS" w:hAnsi="Trebuchet MS"/>
                <w:sz w:val="22"/>
                <w:szCs w:val="22"/>
                <w:lang w:val="en-US" w:eastAsia="en-US" w:bidi="ar-SA"/>
              </w:rPr>
              <w:t>dreptul de abitație;</w:t>
            </w:r>
          </w:p>
          <w:p>
            <w:pPr>
              <w:pStyle w:val="NormalWeb"/>
              <w:widowControl/>
              <w:numPr>
                <w:ilvl w:val="0"/>
                <w:numId w:val="20"/>
              </w:numPr>
              <w:spacing w:before="0" w:after="0"/>
              <w:jc w:val="both"/>
              <w:rPr>
                <w:rFonts w:ascii="Trebuchet MS" w:hAnsi="Trebuchet MS"/>
                <w:sz w:val="22"/>
                <w:szCs w:val="22"/>
              </w:rPr>
            </w:pPr>
            <w:r>
              <w:rPr>
                <w:rFonts w:ascii="Trebuchet MS" w:hAnsi="Trebuchet MS"/>
                <w:sz w:val="22"/>
                <w:szCs w:val="22"/>
                <w:lang w:val="en-US" w:eastAsia="en-US" w:bidi="ar-SA"/>
              </w:rPr>
              <w:t>dreptul de servitute;</w:t>
            </w:r>
          </w:p>
          <w:p>
            <w:pPr>
              <w:pStyle w:val="NormalWeb"/>
              <w:widowControl/>
              <w:numPr>
                <w:ilvl w:val="0"/>
                <w:numId w:val="20"/>
              </w:numPr>
              <w:spacing w:before="0" w:after="0"/>
              <w:jc w:val="both"/>
              <w:rPr>
                <w:rFonts w:ascii="Trebuchet MS" w:hAnsi="Trebuchet MS"/>
                <w:sz w:val="22"/>
                <w:szCs w:val="22"/>
              </w:rPr>
            </w:pPr>
            <w:r>
              <w:rPr>
                <w:rFonts w:ascii="Trebuchet MS" w:hAnsi="Trebuchet MS"/>
                <w:sz w:val="22"/>
                <w:szCs w:val="22"/>
                <w:lang w:val="en-US" w:eastAsia="en-US" w:bidi="ar-SA"/>
              </w:rPr>
              <w:t>dreptul de administrare;</w:t>
            </w:r>
          </w:p>
          <w:p>
            <w:pPr>
              <w:pStyle w:val="NormalWeb"/>
              <w:widowControl/>
              <w:numPr>
                <w:ilvl w:val="0"/>
                <w:numId w:val="20"/>
              </w:numPr>
              <w:spacing w:before="0" w:after="0"/>
              <w:jc w:val="both"/>
              <w:rPr>
                <w:rFonts w:ascii="Trebuchet MS" w:hAnsi="Trebuchet MS"/>
                <w:sz w:val="22"/>
                <w:szCs w:val="22"/>
              </w:rPr>
            </w:pPr>
            <w:r>
              <w:rPr>
                <w:rFonts w:ascii="Trebuchet MS" w:hAnsi="Trebuchet MS"/>
                <w:sz w:val="22"/>
                <w:szCs w:val="22"/>
                <w:lang w:val="en-US" w:eastAsia="en-US" w:bidi="ar-SA"/>
              </w:rPr>
              <w:t>dreptul de concesiune;</w:t>
            </w:r>
          </w:p>
          <w:p>
            <w:pPr>
              <w:pStyle w:val="NormalWeb"/>
              <w:widowControl/>
              <w:numPr>
                <w:ilvl w:val="0"/>
                <w:numId w:val="20"/>
              </w:numPr>
              <w:spacing w:before="0" w:after="0"/>
              <w:jc w:val="both"/>
              <w:rPr>
                <w:rFonts w:ascii="Trebuchet MS" w:hAnsi="Trebuchet MS"/>
                <w:sz w:val="22"/>
                <w:szCs w:val="22"/>
              </w:rPr>
            </w:pPr>
            <w:r>
              <w:rPr>
                <w:rFonts w:ascii="Trebuchet MS" w:hAnsi="Trebuchet MS"/>
                <w:sz w:val="22"/>
                <w:szCs w:val="22"/>
                <w:lang w:val="en-US" w:eastAsia="en-US" w:bidi="ar-SA"/>
              </w:rPr>
              <w:t>dreptul de folosință;</w:t>
            </w:r>
          </w:p>
          <w:p>
            <w:pPr>
              <w:pStyle w:val="NormalWeb"/>
              <w:widowControl/>
              <w:numPr>
                <w:ilvl w:val="0"/>
                <w:numId w:val="20"/>
              </w:numPr>
              <w:spacing w:before="0" w:after="280"/>
              <w:jc w:val="both"/>
              <w:rPr>
                <w:rFonts w:ascii="Trebuchet MS" w:hAnsi="Trebuchet MS"/>
                <w:sz w:val="22"/>
                <w:szCs w:val="22"/>
              </w:rPr>
            </w:pPr>
            <w:r>
              <w:rPr>
                <w:rFonts w:ascii="Trebuchet MS" w:hAnsi="Trebuchet MS"/>
                <w:sz w:val="22"/>
                <w:szCs w:val="22"/>
                <w:lang w:val="en-US" w:eastAsia="en-US" w:bidi="ar-SA"/>
              </w:rPr>
              <w:t>alte drepturi cărora legea le recunoaște acest caracter.</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Aceste aspecte trebuie coroborate cu prevederile Legii nr. 50/1991, republicată, privind autorizarea executării lucrărilor de construcție pentru posibilitatea de a obține autorizația de construire pentru obiectivele de investiție ale proiectelor, acolo unde este cazul.</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Astfel, pentru proiectele de investiții pentru care este necesară obținerea autorizației de construire, solicitantul de finanțare trebuie să facă dovada unui drept real principal asupra bunurilor imobile (teren și/sau clădiri) care fac obiectul cererii de finanțare în etapa de contractare, respectiv nu mai târziu de semnarea contractului de finanțare.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În situația în care, în etapa de contractare, beneficiarul nu demonstrează că este titularul dreptului real principal, cererea de finanțare este respinsă.</w:t>
              <w:br/>
              <w:t>La depunerea cererii de finanțare, solicitantul va declara, odată cu întocmirea declarației unice, că deține sau urmează să dețină (până la semnarea contractului de finanțare) un drept real principal.</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Bunurile imobile care fac obiectul cererii de finanțare trebuie să îndeplinească, în mod cumulativ, nu mai târziu de semnarea contractului de finanțare, următoarele condiții:</w:t>
              <w:br/>
              <w:t>a) să fie libere de orice sarcini sau interdicții incompatibile cu realizarea activităților proiectului;</w:t>
              <w:br/>
              <w:t>b) să nu facă obiectul unor garanții, cesionări și nici a unei alte forme de sarcini care ar putea afecta dreptul invocat;</w:t>
              <w:br/>
              <w:t>c) să nu facă obiectul unor litigii având ca obiect dreptul invocat de către solicitant pentru realizarea proiectului, aflate în curs de soluționare la instanțele judecătorești;</w:t>
              <w:br/>
              <w:t>d) să nu facă obiectul revendicărilor potrivit unor legi speciale în materie sau dreptului comun.</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Cu toate acestea, locul de implementare trebuie identificat în cadrul cererii de finanțare, descris în cadrul planului de afaceri și trebuie să fie adecvat proiectului.</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Garanțiile reale asupra imobilelor (e.g. ipoteca) sunt, în accepțiunea prezentului ghid, incompatibile cu realizarea proiectelor de investiții în cadrul PTJ.</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Ulterior semnării contractului de finanțare, pentru proiectele de investiții pentru care este necesară obținerea autorizației de construire, aflate în perioada de implementare, respectiv în perioada în care este asigurat caracterul durabil al proiectului, în condițiile art. 65 din Regulamentul (UE) nr. 2021/1060, cu modificările și completările ulterioare, nu pot fi stabilite limite ale dreptului invocat care să fie incompatibile cu realizarea activităților proiectului, pentru bunurile imobile care fac obiectul cererii de finanțare.</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Luând în considerare cele menționate mai sus și având la bază doar informațiile transmise de dumneavoastră, considerăm că nu sunt îndeplinite condițiile de eligibilitate legate de drepturile reale, așa cum sunt prevăzute în Ghidul Solicitantului pentru apelurile „Sprijin pentru dezvoltarea microîntreprinderilor, PTJ.</w:t>
            </w:r>
          </w:p>
        </w:tc>
      </w:tr>
      <w:tr>
        <w:trPr>
          <w:trHeight w:val="227" w:hRule="atLeast"/>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8</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24843/24.04.2025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280"/>
              <w:jc w:val="both"/>
              <w:rPr>
                <w:rFonts w:ascii="Trebuchet MS" w:hAnsi="Trebuchet MS"/>
                <w:b/>
                <w:bCs/>
                <w:sz w:val="22"/>
                <w:szCs w:val="22"/>
              </w:rPr>
            </w:pPr>
            <w:r>
              <w:rPr>
                <w:rStyle w:val="Strong"/>
                <w:rFonts w:eastAsia="" w:ascii="Trebuchet MS" w:hAnsi="Trebuchet MS" w:eastAsiaTheme="majorEastAsia"/>
                <w:b w:val="false"/>
                <w:bCs w:val="false"/>
                <w:sz w:val="22"/>
                <w:szCs w:val="22"/>
                <w:lang w:val="en-US" w:eastAsia="en-US" w:bidi="ar-SA"/>
              </w:rPr>
              <w:t>Referitor la linia de finanțare pentru microîntreprinderi prin Programul Tranziție Justă, dorim să ne clarificați următoarele aspecte:</w:t>
            </w:r>
          </w:p>
          <w:p>
            <w:pPr>
              <w:pStyle w:val="NormalWeb"/>
              <w:widowControl/>
              <w:spacing w:before="28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1.Societățile care au înregistrat un număr mediu de 0 (zero) angajați în anul fiscal 2024 sunt eligibile?</w:t>
            </w:r>
            <w:r>
              <w:rPr>
                <w:rFonts w:ascii="Trebuchet MS" w:hAnsi="Trebuchet MS"/>
                <w:sz w:val="22"/>
                <w:szCs w:val="22"/>
                <w:lang w:val="en-US" w:eastAsia="en-US" w:bidi="ar-SA"/>
              </w:rPr>
              <w:br/>
              <w:t>Din exprimarea din ghid nu rezultă clar acest lucru.</w:t>
              <w:br/>
              <w:t xml:space="preserve">Ne încurcă în înțelegere formularea: </w:t>
            </w:r>
            <w:r>
              <w:rPr>
                <w:rStyle w:val="Emphasis"/>
                <w:rFonts w:eastAsia="" w:ascii="Trebuchet MS" w:hAnsi="Trebuchet MS" w:eastAsiaTheme="majorEastAsia"/>
                <w:sz w:val="22"/>
                <w:szCs w:val="22"/>
                <w:lang w:val="en-US" w:eastAsia="en-US" w:bidi="ar-SA"/>
              </w:rPr>
              <w:t>„Solicitantul a înregistrat un număr mediu de salariați începând de la 0 angajați, fără a lua în calcul funcția de administrator sau asociat, în anul fiscal anterior deschiderii apelului de proiecte.”</w:t>
            </w:r>
            <w:r>
              <w:rPr>
                <w:rFonts w:ascii="Trebuchet MS" w:hAnsi="Trebuchet MS"/>
                <w:sz w:val="22"/>
                <w:szCs w:val="22"/>
                <w:lang w:val="en-US" w:eastAsia="en-US" w:bidi="ar-SA"/>
              </w:rPr>
              <w:br/>
              <w:t>Noi înțelegem că orice societate poate aplica, începând de la 0 angajați. Însă nu vedem sensul exprimării, atâta timp cât orice societate are cel puțin zero. De asemenea, ne încurcă formularea referitoare la „angajați sau asociați”. O exprimare clară în acest sens ne-ar ajuta.</w:t>
            </w:r>
          </w:p>
          <w:p>
            <w:pPr>
              <w:pStyle w:val="NormalWeb"/>
              <w:widowControl/>
              <w:spacing w:before="28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2.Societățile care au în prezent sedii/puncte de lucru în alte județe decât cel vizat (ex.: Gorj) pot depune proiecte în cazul în care proiectul vizează o investiție în infrastructură?</w:t>
            </w:r>
            <w:r>
              <w:rPr>
                <w:rFonts w:ascii="Trebuchet MS" w:hAnsi="Trebuchet MS"/>
                <w:sz w:val="22"/>
                <w:szCs w:val="22"/>
                <w:lang w:val="en-US" w:eastAsia="en-US" w:bidi="ar-SA"/>
              </w:rPr>
              <w:br/>
              <w:t>De exemplu, o societate din județul Timiș dorește să construiască o pensiune în județul Gorj. Punctul de lucru va fi deschis conform cerințelor din ghid, până la finalul implementării.</w:t>
            </w:r>
          </w:p>
          <w:p>
            <w:pPr>
              <w:pStyle w:val="NormalWeb"/>
              <w:widowControl/>
              <w:spacing w:before="280" w:after="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3.Schimbarea asociaților înainte de depunerea proiectului este considerată o condiție artificială?</w:t>
            </w:r>
            <w:r>
              <w:rPr>
                <w:rFonts w:ascii="Trebuchet MS" w:hAnsi="Trebuchet MS"/>
                <w:sz w:val="22"/>
                <w:szCs w:val="22"/>
                <w:lang w:val="en-US" w:eastAsia="en-US" w:bidi="ar-SA"/>
              </w:rPr>
              <w:br/>
              <w:t>Menționăm că intențiile sunt clare de a păstra noua structură pe toată perioada de implementare a proiectului.</w:t>
            </w:r>
          </w:p>
        </w:tc>
        <w:tc>
          <w:tcPr>
            <w:tcW w:w="5113" w:type="dxa"/>
            <w:tcBorders/>
          </w:tcPr>
          <w:p>
            <w:pPr>
              <w:pStyle w:val="NormalWeb"/>
              <w:widowControl/>
              <w:spacing w:before="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În urma solicitării dumneavoastră, vă transmitem următoarele informații:</w:t>
            </w:r>
          </w:p>
          <w:p>
            <w:pPr>
              <w:pStyle w:val="NormalWeb"/>
              <w:widowControl/>
              <w:spacing w:before="28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Capitolul 5. CONDIȚII DE ELIGIBILITATE</w:t>
            </w:r>
            <w:r>
              <w:rPr>
                <w:rFonts w:ascii="Trebuchet MS" w:hAnsi="Trebuchet MS"/>
                <w:sz w:val="22"/>
                <w:szCs w:val="22"/>
                <w:lang w:val="en-US" w:eastAsia="en-US" w:bidi="ar-SA"/>
              </w:rPr>
              <w:t xml:space="preserve"> prevede:</w:t>
              <w:br/>
              <w:t>„criteriile de eligibilitate și de selecție care privesc aspecte legate de anul de referință al situațiilor fiscale se referă la anul fiscal anterior deschiderii apelului de proiecte. Criteriile din etapa de evaluare și proiecțiile financiare asociate proiectului vor avea în vedere situațiile financiare aferente anului fiscal anterior deschiderii apelului de proiecte. În situația în care pe parcursul procesului de evaluare, selecție, contractare se încheie un nou an fiscal, solicitantul are obligația menținerii criteriilor de eligibilitate în noul an fiscal (menținerea încadrării în categoria microîntreprinderilor, numărul minim obligatoriu de locuri de muncă, respectiv număr mediu începând de la 0 angajați, fără a lua în calcul funcția de administrator sau asociat, în categoria întreprinderilor în dificultate, existența profitului din exploatare &gt;0, nesuspendarea activității economice în anul fiscal respectiv, respectarea plafonului de minimis, alte criterii de eligibilitate), în caz contrar proiectul va fi declarat neeligibil. În această situație AM PTJ/OI poate solicita situațiile financiare aferente anului fiscal respectiv.”</w:t>
            </w:r>
          </w:p>
          <w:p>
            <w:pPr>
              <w:pStyle w:val="NormalWeb"/>
              <w:widowControl/>
              <w:spacing w:before="28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2.Capitolul 5.2 Cerințe privind eligibilitatea proiectului</w:t>
            </w:r>
            <w:r>
              <w:rPr>
                <w:rFonts w:ascii="Trebuchet MS" w:hAnsi="Trebuchet MS"/>
                <w:sz w:val="22"/>
                <w:szCs w:val="22"/>
                <w:lang w:val="en-US" w:eastAsia="en-US" w:bidi="ar-SA"/>
              </w:rPr>
              <w:t>, punctul 2) Domeniul de activitate în care se realizează proiectul:</w:t>
              <w:br/>
              <w:t>„Prin excepție, în cazul unei cereri de finanțare care presupune înființarea unui sediu secundar (punct de lucru) ori activarea într-un nou domeniu de activitate ca urmare a realizării proiectului, solicitantul se va angaja (prin declarația unică) ca, până la prima plată a ajutorului, dar nu mai târziu de finalizarea implementării proiectului, să înregistreze locul de implementare ca punct de lucru.”</w:t>
            </w:r>
          </w:p>
          <w:p>
            <w:pPr>
              <w:pStyle w:val="NormalWeb"/>
              <w:widowControl/>
              <w:spacing w:before="28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Punctul 3) Locul de implementare</w:t>
            </w:r>
            <w:r>
              <w:rPr>
                <w:rFonts w:ascii="Trebuchet MS" w:hAnsi="Trebuchet MS"/>
                <w:sz w:val="22"/>
                <w:szCs w:val="22"/>
                <w:lang w:val="en-US" w:eastAsia="en-US" w:bidi="ar-SA"/>
              </w:rPr>
              <w:br/>
              <w:t>„Până la data primei plăți din ajutorul de minimis, dar nu mai târziu de finalizarea implementării proiectului, solicitantul trebuie să aibă locul de implementare a proiectului înregistrat ca sediu principal sau secundar în zona vizată de apel.</w:t>
              <w:br/>
              <w:t>Cu toate acestea, locul de implementare trebuie identificat în cadrul cererii de finanțare, descris în cadrul planului de afaceri (Anexa 5) și trebuie să fie adecvat proiectului. În situația unei cereri de finanțare care presupune înființarea unui sediu secundar ca urmare a realizării proiectului, solicitantul se va angaja (prin Declarația unică) ca, până la prima plată a ajutorului, dar nu mai târziu de finalizarea implementării proiectului, să înregistreze locul de implementare ca sediu principal/secundar în zona vizată de apel. Dacă solicitantul are deja sediul/punctul de lucru înregistrat și autorizat în zona vizată de apel, dar la acea locație nu a desfășurat activitate economică, sunt eligibile doar proiectele de investiții care nu presupun doar achiziția de echipamente sau dotări. Astfel, dacă la sediu/punctul de lucru nu s-a desfășurat activitate economică, acesta va fi tratat ca un punct de lucru nou, caz în care proiectul promovat trebuie să vizeze investiții în infrastructură.”</w:t>
            </w:r>
          </w:p>
          <w:p>
            <w:pPr>
              <w:pStyle w:val="NormalWeb"/>
              <w:widowControl/>
              <w:spacing w:before="280" w:after="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3.În ceea ce privește schimbarea asociaților înainte de depunerea proiectului</w:t>
            </w:r>
            <w:r>
              <w:rPr>
                <w:rFonts w:ascii="Trebuchet MS" w:hAnsi="Trebuchet MS"/>
                <w:sz w:val="22"/>
                <w:szCs w:val="22"/>
                <w:lang w:val="en-US" w:eastAsia="en-US" w:bidi="ar-SA"/>
              </w:rPr>
              <w:t>, menționăm că nu există prevederi în acest sens.</w:t>
            </w:r>
          </w:p>
        </w:tc>
      </w:tr>
      <w:tr>
        <w:trPr>
          <w:trHeight w:val="227" w:hRule="atLeast"/>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9</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FN/23.04.2025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0"/>
              <w:jc w:val="both"/>
              <w:rPr>
                <w:rStyle w:val="Strong"/>
                <w:rFonts w:ascii="Trebuchet MS" w:hAnsi="Trebuchet MS" w:eastAsia="" w:eastAsiaTheme="majorEastAsia"/>
                <w:b w:val="false"/>
                <w:bCs w:val="false"/>
                <w:sz w:val="22"/>
                <w:szCs w:val="22"/>
              </w:rPr>
            </w:pPr>
            <w:r>
              <w:rPr>
                <w:rFonts w:ascii="Trebuchet MS" w:hAnsi="Trebuchet MS"/>
                <w:sz w:val="22"/>
                <w:szCs w:val="22"/>
                <w:lang w:val="en-US" w:eastAsia="en-US" w:bidi="ar-SA"/>
              </w:rPr>
              <w:t>Încerc să găsesc anexa în baza căreia pot vedea dacă investiția se realizează într-unul dintre domeniile identificate expres în cadrul fiecărei priorități PTJ 2021-2027. Nu reușesc să o găsesc. Mă puteți ajuta cu acest document?</w:t>
            </w:r>
          </w:p>
        </w:tc>
        <w:tc>
          <w:tcPr>
            <w:tcW w:w="5113" w:type="dxa"/>
            <w:tcBorders/>
          </w:tcPr>
          <w:p>
            <w:pPr>
              <w:pStyle w:val="NormalWeb"/>
              <w:widowControl/>
              <w:spacing w:before="0" w:after="0"/>
              <w:jc w:val="both"/>
              <w:rPr>
                <w:rStyle w:val="Strong"/>
                <w:rFonts w:ascii="Trebuchet MS" w:hAnsi="Trebuchet MS" w:eastAsia="" w:eastAsiaTheme="majorEastAsia"/>
                <w:sz w:val="22"/>
                <w:szCs w:val="22"/>
              </w:rPr>
            </w:pPr>
            <w:r>
              <w:rPr>
                <w:rFonts w:ascii="Trebuchet MS" w:hAnsi="Trebuchet MS"/>
                <w:sz w:val="22"/>
                <w:szCs w:val="22"/>
                <w:lang w:val="en-US" w:eastAsia="en-US" w:bidi="ar-SA"/>
              </w:rPr>
              <w:t>Stimate domn,</w:t>
              <w:br/>
              <w:t>Informațiile solicitate de dumneavoastră sunt parte integrantă a Ghidului Solicitantului.</w:t>
              <w:br/>
              <w:t>În cadrul capitolului 3.6 – Acțiuni sprijinite, în cadrul apelului sunt informații legate de matricele prioritare.</w:t>
            </w:r>
          </w:p>
        </w:tc>
      </w:tr>
      <w:tr>
        <w:trPr>
          <w:trHeight w:val="227" w:hRule="atLeast"/>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10</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25070/24.04.2025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În procesul de analiză a Grilei de punctaj ETF, am întâmpinat o neclaritate în ceea ce privește criteriul:</w:t>
              <w:br/>
              <w:t>b) Angajarea prioritară a minimum unei persoane din cele care provin din activități economice, dintr-o industrie/ramură economică direct afectată de procesul de transformare în contextul procesului de tranziție justă în teritoriile vizate (întreg lanțul de producție, întreprinderile care își transformă procesul de producție pe domeniile verzi).</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Pentru a ne putea conforma cerințelor și pentru a evalua corect eligibilitatea potențialilor angajați, vă rugăm să ne transmiteți o listă sau o referință oficială care detaliază industriile/ramurile economice considerate a fi direct afectate de procesul de transformare în contextul tranziției juste, în regiunea Oltenia.</w:t>
            </w:r>
          </w:p>
          <w:p>
            <w:pPr>
              <w:pStyle w:val="NormalWeb"/>
              <w:widowControl/>
              <w:spacing w:before="280" w:after="0"/>
              <w:jc w:val="both"/>
              <w:rPr>
                <w:rStyle w:val="Strong"/>
                <w:rFonts w:ascii="Trebuchet MS" w:hAnsi="Trebuchet MS"/>
                <w:b w:val="false"/>
                <w:bCs w:val="false"/>
                <w:sz w:val="22"/>
                <w:szCs w:val="22"/>
              </w:rPr>
            </w:pPr>
            <w:r>
              <w:rPr>
                <w:rFonts w:ascii="Trebuchet MS" w:hAnsi="Trebuchet MS"/>
                <w:sz w:val="22"/>
                <w:szCs w:val="22"/>
                <w:lang w:val="en-US" w:eastAsia="en-US" w:bidi="ar-SA"/>
              </w:rPr>
              <w:t>Vă mulțumim anticipat pentru sprijin și așteptăm cu interes răspunsul dumneavoastră.</w:t>
            </w:r>
          </w:p>
        </w:tc>
        <w:tc>
          <w:tcPr>
            <w:tcW w:w="5113"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 xml:space="preserve">În cadrul Programului Tranziție Justă 2021-2027, versiunea actualizată, document pe care îl regăsiți la următorul link: </w:t>
            </w:r>
            <w:hyperlink r:id="rId24" w:tgtFrame="_new">
              <w:r>
                <w:rPr>
                  <w:rStyle w:val="Hyperlink"/>
                  <w:rFonts w:eastAsia="" w:ascii="Trebuchet MS" w:hAnsi="Trebuchet MS" w:eastAsiaTheme="majorEastAsia"/>
                  <w:sz w:val="22"/>
                  <w:szCs w:val="22"/>
                  <w:lang w:val="en-US" w:eastAsia="en-US" w:bidi="ar-SA"/>
                </w:rPr>
                <w:t>https://ptj2021-2027.adroltenia.ro/ptj-aprobat/</w:t>
              </w:r>
            </w:hyperlink>
            <w:r>
              <w:rPr>
                <w:rFonts w:ascii="Trebuchet MS" w:hAnsi="Trebuchet MS"/>
                <w:sz w:val="22"/>
                <w:szCs w:val="22"/>
                <w:lang w:val="en-US" w:eastAsia="en-US" w:bidi="ar-SA"/>
              </w:rPr>
              <w:t>, puteți găsi detalii despre Strategia programului: principale provocări și măsuri de politică adoptate:</w:t>
              <w:br/>
              <w:t>„Decarbonarea producției de energie și agent termic pe bază de cărbune</w:t>
              <w:br/>
              <w:t>Tranziția sustenabilă și compatibilă cu obiectivele de securitate energetică națională către o producție de energie electrică și agent termic, cu emisii reduse de carbon, va fi realizată prin eliminarea treptată a cărbunelui. Procesul este reglementat de Ordonanța de urgență nr. 108/2022, care include calendarul 2022 - 2030 pentru închiderea capacității totale instalate pe bază de huilă și lignit de 4920 de MW.</w:t>
              <w:br/>
              <w:t>Decarbonarea a început deja prin închiderea în 2021 a unei capacități de 1695 de MW și va continua, conform calendarului prezentat în Anexa 1, graficul 4, până la închiderea întregii capacități, din care 4770 de MW reprezintă capacitatea de la nivelul Complexului Energetic (CE) Oltenia și CE Hunedoara, două companii publice cu operațiuni în județele Dolj, Gorj și Hunedoara.</w:t>
              <w:br/>
              <w:t>Calendarul închiderii capacităților celor două companii este prezentat în Anexa 1, tabelele 1 și 2.</w:t>
              <w:br/>
              <w:t>Unele grupuri energetice constituie rezervă tehnică între 2023 - 2030, pentru funcționarea sigură și stabilă a Sistemului Electroenergetic Național (SEN).</w:t>
              <w:br/>
              <w:t>De asemenea, termenul de închidere prevăzut pentru grupurile energetice Rovinari 3 și Turceni 7, totalizând 660 MW (31 decembrie 2022), poate fi amânat în situații justificate la solicitarea Transelectrica și se constituie rezervă tehnică între 2023 - 2026.</w:t>
              <w:br/>
              <w:t>Astfel, începând cu 2031, producția de energie electrică pe bază de cărbune va înceta.</w:t>
              <w:br/>
              <w:t>Concomitent, exploatările miniere din jud. Gorj și Hunedoara, care alimentează aceste blocuri energetice, parcurg un proces de închidere până în 2032, ceea ce va face ca, în 2030, ultimul an de funcționare a grupurilor energetice, cantitatea de cărbune estimată a mai fi extrasă (aprox. 10 milioane tone) să fie cu 75% mai redusă față de nivelul anului 1993 (Anexa 1, grafic 5). Din 2031, extracția de cărbune va înceta.”</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Prin urmare, unele din ramurile economice direct afectate de procesul de tranziție, dar fără a se limita la acestea, sunt industria extractivă și sectorul energetic.</w:t>
              <w:br/>
              <w:t>Totodată, vă reamintim că solicitantul trebuie să îndeplinească toate condițiile de eligibilitate prevăzute în ghidul solicitantului.</w:t>
              <w:br/>
              <w:t xml:space="preserve">Vă rugăm să consultați periodic pagina de internet a MIPE, pentru informații actualizate privind apelurile de proiecte PTJ, inclusiv secțiunea de întrebări și răspunsuri, precum și instrucțiunile emise de AM PTJ/MIPE: </w:t>
            </w:r>
            <w:hyperlink r:id="rId25" w:tgtFrame="_new">
              <w:r>
                <w:rPr>
                  <w:rStyle w:val="Hyperlink"/>
                  <w:rFonts w:eastAsia="" w:ascii="Trebuchet MS" w:hAnsi="Trebuchet MS" w:eastAsiaTheme="majorEastAsia"/>
                  <w:sz w:val="22"/>
                  <w:szCs w:val="22"/>
                  <w:lang w:val="en-US" w:eastAsia="en-US" w:bidi="ar-SA"/>
                </w:rPr>
                <w:t>https://mfe.gov.ro/ptj-21-27/</w:t>
              </w:r>
            </w:hyperlink>
            <w:r>
              <w:rPr>
                <w:rFonts w:ascii="Trebuchet MS" w:hAnsi="Trebuchet MS"/>
                <w:sz w:val="22"/>
                <w:szCs w:val="22"/>
                <w:lang w:val="en-US" w:eastAsia="en-US" w:bidi="ar-SA"/>
              </w:rPr>
              <w:t>.</w:t>
            </w:r>
          </w:p>
          <w:p>
            <w:pPr>
              <w:pStyle w:val="Normal"/>
              <w:widowControl/>
              <w:spacing w:lineRule="auto" w:line="240" w:before="0" w:after="0"/>
              <w:jc w:val="both"/>
              <w:rPr>
                <w:rStyle w:val="Strong"/>
                <w:rFonts w:ascii="Trebuchet MS" w:hAnsi="Trebuchet MS"/>
                <w:b w:val="false"/>
                <w:bCs w:val="false"/>
                <w:sz w:val="22"/>
                <w:szCs w:val="22"/>
              </w:rPr>
            </w:pPr>
            <w:r>
              <w:rPr>
                <w:rFonts w:eastAsia="Aptos" w:cs="" w:ascii="Trebuchet MS" w:hAnsi="Trebuchet MS"/>
                <w:b w:val="false"/>
                <w:bCs w:val="false"/>
                <w:kern w:val="2"/>
                <w:sz w:val="22"/>
                <w:szCs w:val="22"/>
                <w:lang w:val="en-US" w:eastAsia="en-US" w:bidi="ar-SA"/>
              </w:rPr>
            </w:r>
          </w:p>
        </w:tc>
      </w:tr>
      <w:tr>
        <w:trPr>
          <w:trHeight w:val="227" w:hRule="atLeast"/>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11</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22638/14.04.2025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Vă scriu pentru a solicita o clarificare privind statutul de microîntreprindere al societății noastre în cadrul Programului Tranziție Justă - Prioritățile 1-6, componenta „Sprijin pentru creșterea durabilă a microîntreprinderilor și crearea de locuri de muncă”.</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Situația noastră este următoarea:</w:t>
              <w:br/>
              <w:t>• Unul dintre acționarii societății noastre (persoană fizică - PF) deține 24% din capitalul firmei noastre.</w:t>
              <w:br/>
              <w:t>• Același acționar deține peste 30% din capitalul unei firme medii, care are mai mult de 50 de salariați.</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Dorim să înțelegem cum influențează această situație statutul firmei noastre, având în vedere regulile privind întreprinderile autonome, partenere sau legate. În mod specific:</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1.Deținerea de 24% în firma noastră creează o legătură care ne-ar putea afecta statutul de microîntreprindere?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2.Participația de peste 30% în firma medie impune cumularea indicatorilor economici (angajați, cifră de afaceri, active) ai firmei medii cu cei ai firmei noastre?</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Apreciem o clarificare pentru a ne asigura că îndeplinim toate criteriile necesare pentru încadrarea în categoria microîntreprinderilor conform reglementărilor din Programul Tranziție Justă.</w:t>
            </w:r>
          </w:p>
        </w:tc>
        <w:tc>
          <w:tcPr>
            <w:tcW w:w="5113"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Ca urmare a solicitării dumneavoastră, vă aducem la cunoștință următoarele informații:</w:t>
              <w:br/>
              <w:t>În conformitate cu prevederile Legii nr. 346/2004:</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w:t>
            </w:r>
            <w:r>
              <w:rPr>
                <w:rFonts w:ascii="Trebuchet MS" w:hAnsi="Trebuchet MS"/>
                <w:sz w:val="22"/>
                <w:szCs w:val="22"/>
                <w:lang w:val="en-US" w:eastAsia="en-US" w:bidi="ar-SA"/>
              </w:rPr>
              <w:t>A este întreprindere legată cu alte întreprinderi, dacă –</w:t>
              <w:br/>
              <w:t>Între A și alte întreprinderi există oricare dintre următoarele raporturi:</w:t>
              <w:br/>
              <w:t>i. o întreprindere deține majoritatea drepturilor de vot ale acționarilor sau ale asociaților celeilalte întreprinderi;</w:t>
              <w:br/>
              <w:t>ii. o întreprindere are dreptul de a numi sau de a revoca majoritatea membrilor consiliului de administrație, de conducere ori de supraveghere a celeilalte întreprinderi;</w:t>
              <w:br/>
              <w:t>iii. o întreprindere are dreptul de a exercita o influență dominantă asupra celeilalte întreprinderi, în temeiul unui contract încheiat cu această întreprindere sau al unei clauze din statutul acesteia;</w:t>
              <w:br/>
              <w:t>iv. o întreprindere este acționară sau asociată a celeilalte întreprinderi și deține singură, în baza unui acord cu alți acționari ori asociați ai acelei întreprinderi, majoritatea drepturilor de vot ale acționarilor sau asociaților întreprinderii respective.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sau</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Între A și alte întreprinderi există oricare dintre raporturile de mai sus prin intermediul uneia ori mai multor întreprinderi sau prin oricare dintre investitorii prevăzuți la alin. (3) al art. 4^2 din Lege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sau</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Între A și alte întreprinderi există oricare dintre raporturile de mai sus prin intermediul unei persoane fizice sau al unui grup de persoane fizice care acționează de comun acord, dacă își desfășoară activitatea sau o parte din activitate pe aceeași piață relevantă ori pe piețe adiacente”.</w:t>
            </w:r>
          </w:p>
          <w:p>
            <w:pPr>
              <w:pStyle w:val="NormalWeb"/>
              <w:widowControl/>
              <w:spacing w:before="280" w:after="0"/>
              <w:jc w:val="both"/>
              <w:rPr>
                <w:rFonts w:ascii="Trebuchet MS" w:hAnsi="Trebuchet MS"/>
                <w:sz w:val="22"/>
                <w:szCs w:val="22"/>
              </w:rPr>
            </w:pPr>
            <w:r>
              <w:rPr>
                <w:rFonts w:ascii="Trebuchet MS" w:hAnsi="Trebuchet MS"/>
                <w:sz w:val="22"/>
                <w:szCs w:val="22"/>
                <w:lang w:val="en-US" w:eastAsia="en-US" w:bidi="ar-SA"/>
              </w:rPr>
              <w:t>Pentru detalii și informații suplimentare, vă trimitem atașat „Manualul utilizatorului pentru definiția IMM-urilor”, document elaborat de Comisia Europeană.</w:t>
            </w:r>
          </w:p>
        </w:tc>
      </w:tr>
      <w:tr>
        <w:trPr>
          <w:trHeight w:val="227" w:hRule="atLeast"/>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12</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25470/28.04.2025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280"/>
              <w:jc w:val="both"/>
              <w:rPr>
                <w:rFonts w:ascii="Trebuchet MS" w:hAnsi="Trebuchet MS"/>
                <w:b/>
                <w:bCs/>
                <w:sz w:val="22"/>
                <w:szCs w:val="22"/>
              </w:rPr>
            </w:pPr>
            <w:r>
              <w:rPr>
                <w:rStyle w:val="Strong"/>
                <w:rFonts w:eastAsia="" w:ascii="Trebuchet MS" w:hAnsi="Trebuchet MS" w:eastAsiaTheme="majorEastAsia"/>
                <w:b w:val="false"/>
                <w:bCs w:val="false"/>
                <w:sz w:val="22"/>
                <w:szCs w:val="22"/>
                <w:lang w:val="en-US" w:eastAsia="en-US" w:bidi="ar-SA"/>
              </w:rPr>
              <w:t>Din partea societății X, am dori să vă adresăm o serie de întrebări legate de PROGRAMUL TRANZIȚIE JUSTĂ „SPRIJIN PENTRU CREȘTEREA DURABILĂ A MICROÎNTREPRINDERILOR ȘI CREAREA DE LOCURI DE MUNCĂ”:</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1.Care vor fi codurile CAEN eligibile (ținând cont că există doar o listă cu cele excluse și o listă de prioritare)?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2.Toate codurile CAEN care nu sunt expres menționate (în lista celor excluse) sunt eligibile?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3.Dacă o activitate obține acord de mediu din partea autorității competente, se respinge automat?</w:t>
            </w:r>
          </w:p>
          <w:p>
            <w:pPr>
              <w:pStyle w:val="NormalWeb"/>
              <w:widowControl/>
              <w:spacing w:before="280" w:after="0"/>
              <w:jc w:val="both"/>
              <w:rPr>
                <w:rStyle w:val="Strong"/>
                <w:rFonts w:ascii="Trebuchet MS" w:hAnsi="Trebuchet MS"/>
                <w:b w:val="false"/>
                <w:bCs w:val="false"/>
                <w:sz w:val="22"/>
                <w:szCs w:val="22"/>
              </w:rPr>
            </w:pPr>
            <w:r>
              <w:rPr>
                <w:rFonts w:ascii="Trebuchet MS" w:hAnsi="Trebuchet MS"/>
                <w:sz w:val="22"/>
                <w:szCs w:val="22"/>
                <w:lang w:val="en-US" w:eastAsia="en-US" w:bidi="ar-SA"/>
              </w:rPr>
              <w:t>4.Dacă o societate are sediul social în alt județ față de județele vizate de proiect, este eligibilă? (prin proiect vrea să propună un punct de lucru nou în aria vizată de program).</w:t>
            </w:r>
          </w:p>
        </w:tc>
        <w:tc>
          <w:tcPr>
            <w:tcW w:w="5113" w:type="dxa"/>
            <w:tcBorders/>
          </w:tcPr>
          <w:p>
            <w:pPr>
              <w:pStyle w:val="NormalWeb"/>
              <w:widowControl/>
              <w:spacing w:before="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În urma solicitării dvs., vă transmitem următoarele informații:</w:t>
            </w:r>
          </w:p>
          <w:p>
            <w:pPr>
              <w:pStyle w:val="NormalWeb"/>
              <w:widowControl/>
              <w:spacing w:before="28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1, 2.</w:t>
            </w:r>
            <w:r>
              <w:rPr>
                <w:rFonts w:ascii="Trebuchet MS" w:hAnsi="Trebuchet MS"/>
                <w:sz w:val="22"/>
                <w:szCs w:val="22"/>
                <w:lang w:val="en-US" w:eastAsia="en-US" w:bidi="ar-SA"/>
              </w:rPr>
              <w:t xml:space="preserve"> Conform Ghidului solicitantului, capitolul 3.6 </w:t>
            </w:r>
            <w:r>
              <w:rPr>
                <w:rStyle w:val="Emphasis"/>
                <w:rFonts w:eastAsia="" w:ascii="Trebuchet MS" w:hAnsi="Trebuchet MS" w:eastAsiaTheme="majorEastAsia"/>
                <w:sz w:val="22"/>
                <w:szCs w:val="22"/>
                <w:lang w:val="en-US" w:eastAsia="en-US" w:bidi="ar-SA"/>
              </w:rPr>
              <w:t>Acțiuni sprijinite în cadrul apelului</w:t>
            </w:r>
            <w:r>
              <w:rPr>
                <w:rFonts w:ascii="Trebuchet MS" w:hAnsi="Trebuchet MS"/>
                <w:sz w:val="22"/>
                <w:szCs w:val="22"/>
                <w:lang w:val="en-US" w:eastAsia="en-US" w:bidi="ar-SA"/>
              </w:rPr>
              <w:t>:</w:t>
              <w:br/>
              <w:t>„În cadrul apelurilor de proiecte sunt prioritizate proiectele în domeniile menționate expres în PTJ 2021-2027 și cele din strategiile regionale de specializare inteligentă, cu mențiunea ca acestea să nu fie excluse în conformitate cu:</w:t>
            </w:r>
          </w:p>
          <w:p>
            <w:pPr>
              <w:pStyle w:val="NormalWeb"/>
              <w:widowControl/>
              <w:numPr>
                <w:ilvl w:val="0"/>
                <w:numId w:val="21"/>
              </w:numPr>
              <w:spacing w:before="280" w:after="0"/>
              <w:jc w:val="both"/>
              <w:rPr>
                <w:rFonts w:ascii="Trebuchet MS" w:hAnsi="Trebuchet MS"/>
                <w:sz w:val="22"/>
                <w:szCs w:val="22"/>
              </w:rPr>
            </w:pPr>
            <w:r>
              <w:rPr>
                <w:rFonts w:ascii="Trebuchet MS" w:hAnsi="Trebuchet MS"/>
                <w:sz w:val="22"/>
                <w:szCs w:val="22"/>
                <w:lang w:val="en-US" w:eastAsia="en-US" w:bidi="ar-SA"/>
              </w:rPr>
              <w:t>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 cu modificările și completările ulterioare;</w:t>
            </w:r>
          </w:p>
          <w:p>
            <w:pPr>
              <w:pStyle w:val="NormalWeb"/>
              <w:widowControl/>
              <w:numPr>
                <w:ilvl w:val="0"/>
                <w:numId w:val="21"/>
              </w:numPr>
              <w:spacing w:before="0" w:after="0"/>
              <w:jc w:val="both"/>
              <w:rPr>
                <w:rFonts w:ascii="Trebuchet MS" w:hAnsi="Trebuchet MS"/>
                <w:sz w:val="22"/>
                <w:szCs w:val="22"/>
              </w:rPr>
            </w:pPr>
            <w:r>
              <w:rPr>
                <w:rFonts w:ascii="Trebuchet MS" w:hAnsi="Trebuchet MS"/>
                <w:sz w:val="22"/>
                <w:szCs w:val="22"/>
                <w:lang w:val="en-US" w:eastAsia="en-US" w:bidi="ar-SA"/>
              </w:rPr>
              <w:t>Regulamentul (UE) 2021/1056 al Parlamentului European și al Consiliului din 24 iunie 2021 de instituire a Fondului pentru o tranziție justă, cu modificările și completările ulterioare;</w:t>
            </w:r>
          </w:p>
          <w:p>
            <w:pPr>
              <w:pStyle w:val="NormalWeb"/>
              <w:widowControl/>
              <w:numPr>
                <w:ilvl w:val="0"/>
                <w:numId w:val="21"/>
              </w:numPr>
              <w:spacing w:before="0" w:after="0"/>
              <w:jc w:val="both"/>
              <w:rPr>
                <w:rFonts w:ascii="Trebuchet MS" w:hAnsi="Trebuchet MS"/>
                <w:sz w:val="22"/>
                <w:szCs w:val="22"/>
              </w:rPr>
            </w:pPr>
            <w:r>
              <w:rPr>
                <w:rFonts w:ascii="Trebuchet MS" w:hAnsi="Trebuchet MS"/>
                <w:sz w:val="22"/>
                <w:szCs w:val="22"/>
                <w:lang w:val="en-US" w:eastAsia="en-US" w:bidi="ar-SA"/>
              </w:rPr>
              <w:t>Regulamentul (UE) 2023/2831 al Comisiei din 13 decembrie 2023 privind aplicarea articolelor 107 și 108 din Tratatul privind funcționarea Uniunii Europene ajutoarelor de minimis;</w:t>
            </w:r>
          </w:p>
          <w:p>
            <w:pPr>
              <w:pStyle w:val="NormalWeb"/>
              <w:widowControl/>
              <w:numPr>
                <w:ilvl w:val="0"/>
                <w:numId w:val="21"/>
              </w:numPr>
              <w:spacing w:before="0" w:after="280"/>
              <w:jc w:val="both"/>
              <w:rPr>
                <w:rFonts w:ascii="Trebuchet MS" w:hAnsi="Trebuchet MS"/>
                <w:sz w:val="22"/>
                <w:szCs w:val="22"/>
              </w:rPr>
            </w:pPr>
            <w:r>
              <w:rPr>
                <w:rFonts w:ascii="Trebuchet MS" w:hAnsi="Trebuchet MS"/>
                <w:sz w:val="22"/>
                <w:szCs w:val="22"/>
                <w:lang w:val="en-US" w:eastAsia="en-US" w:bidi="ar-SA"/>
              </w:rPr>
              <w:t>Analiza DNSH de la nivelul PTJ 2021-2027 sau nu se încadrează în activitățile cuprinse în Anexa I din Directiva 2003/87/CE de stabilire a unui sistem de comercializare a cotelor de emisie de gaze cu efect de seră în cadrul Comunității și de modificare a Directivei 96/61/CE.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Pentru detalii cu privire la aceste aspecte a se vedea anexa la OMIPE nr. 654/01.04.2025 privind aprobarea Schemei de măsuri de ajutor de minimis având ca obiectiv dezvoltarea microîntreprinderilor prin acordarea de sprijin pentru creșterea durabilă și crearea de locuri de muncă în cadrul Programului Tranziție Justă 2021-2027.”</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 xml:space="preserve">În cadrul </w:t>
            </w:r>
            <w:r>
              <w:rPr>
                <w:rStyle w:val="Emphasis"/>
                <w:rFonts w:eastAsia="" w:ascii="Trebuchet MS" w:hAnsi="Trebuchet MS" w:eastAsiaTheme="majorEastAsia"/>
                <w:sz w:val="22"/>
                <w:szCs w:val="22"/>
                <w:lang w:val="en-US" w:eastAsia="en-US" w:bidi="ar-SA"/>
              </w:rPr>
              <w:t>Metodologiei și criteriilor folosite pentru selectarea operațiunilor</w:t>
            </w:r>
            <w:r>
              <w:rPr>
                <w:rFonts w:ascii="Trebuchet MS" w:hAnsi="Trebuchet MS"/>
                <w:sz w:val="22"/>
                <w:szCs w:val="22"/>
                <w:lang w:val="en-US" w:eastAsia="en-US" w:bidi="ar-SA"/>
              </w:rPr>
              <w:t xml:space="preserve"> puteți regăsi:</w:t>
            </w:r>
          </w:p>
          <w:p>
            <w:pPr>
              <w:pStyle w:val="NormalWeb"/>
              <w:widowControl/>
              <w:numPr>
                <w:ilvl w:val="0"/>
                <w:numId w:val="22"/>
              </w:numPr>
              <w:spacing w:before="280" w:after="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Anexa 1</w:t>
            </w:r>
            <w:r>
              <w:rPr>
                <w:rFonts w:ascii="Trebuchet MS" w:hAnsi="Trebuchet MS"/>
                <w:sz w:val="22"/>
                <w:szCs w:val="22"/>
                <w:lang w:val="en-US" w:eastAsia="en-US" w:bidi="ar-SA"/>
              </w:rPr>
              <w:t xml:space="preserve"> – Lista domeniilor de activitate prioritizate la finanțare și a domeniilor excluse în conformitate cu regulamentele aplicabile;</w:t>
            </w:r>
          </w:p>
          <w:p>
            <w:pPr>
              <w:pStyle w:val="NormalWeb"/>
              <w:widowControl/>
              <w:numPr>
                <w:ilvl w:val="0"/>
                <w:numId w:val="22"/>
              </w:numPr>
              <w:spacing w:before="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Anexa 2</w:t>
            </w:r>
            <w:r>
              <w:rPr>
                <w:rFonts w:ascii="Trebuchet MS" w:hAnsi="Trebuchet MS"/>
                <w:sz w:val="22"/>
                <w:szCs w:val="22"/>
                <w:lang w:val="en-US" w:eastAsia="en-US" w:bidi="ar-SA"/>
              </w:rPr>
              <w:t xml:space="preserve"> – Lista codurilor CAEN neeligibile.</w:t>
            </w:r>
          </w:p>
          <w:p>
            <w:pPr>
              <w:pStyle w:val="NormalWeb"/>
              <w:widowControl/>
              <w:spacing w:before="28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3.</w:t>
            </w:r>
            <w:r>
              <w:rPr>
                <w:rFonts w:ascii="Trebuchet MS" w:hAnsi="Trebuchet MS"/>
                <w:sz w:val="22"/>
                <w:szCs w:val="22"/>
                <w:lang w:val="en-US" w:eastAsia="en-US" w:bidi="ar-SA"/>
              </w:rPr>
              <w:t xml:space="preserve"> Conform capitolului 3.17 </w:t>
            </w:r>
            <w:r>
              <w:rPr>
                <w:rStyle w:val="Emphasis"/>
                <w:rFonts w:eastAsia="" w:ascii="Trebuchet MS" w:hAnsi="Trebuchet MS" w:eastAsiaTheme="majorEastAsia"/>
                <w:sz w:val="22"/>
                <w:szCs w:val="22"/>
                <w:lang w:val="en-US" w:eastAsia="en-US" w:bidi="ar-SA"/>
              </w:rPr>
              <w:t>Aspecte de mediu (inclusiv aplicarea Directivei 2011/92/UE a Parlamentului European și a Consiliului). Aplicarea principiului DNSH. Imunizarea la schimbările climatice</w:t>
            </w:r>
            <w:r>
              <w:rPr>
                <w:rFonts w:ascii="Trebuchet MS" w:hAnsi="Trebuchet MS"/>
                <w:sz w:val="22"/>
                <w:szCs w:val="22"/>
                <w:lang w:val="en-US" w:eastAsia="en-US" w:bidi="ar-SA"/>
              </w:rPr>
              <w:t>:</w:t>
              <w:br/>
              <w:t xml:space="preserve">„Respectarea principiului DNSH constituie criteriu de selecție, conform PTJ, iar Lista de auto-evaluare DNSH va fi anexă la cererea de finanțare. Totodată, în funcție de domeniul de activitate al proiectelor se va avea în vedere respectarea prevederilor Legii nr. 292/2018 privind evaluarea impactului anumitor proiecte publice și private asupra mediului </w:t>
            </w:r>
            <w:hyperlink r:id="rId26" w:tgtFrame="_new">
              <w:r>
                <w:rPr>
                  <w:rStyle w:val="Hyperlink"/>
                  <w:rFonts w:eastAsia="" w:ascii="Trebuchet MS" w:hAnsi="Trebuchet MS" w:eastAsiaTheme="majorEastAsia"/>
                  <w:sz w:val="22"/>
                  <w:szCs w:val="22"/>
                  <w:lang w:val="en-US" w:eastAsia="en-US" w:bidi="ar-SA"/>
                </w:rPr>
                <w:t>http://www.mmediu.ro/categorie/eia/134</w:t>
              </w:r>
            </w:hyperlink>
            <w:r>
              <w:rPr>
                <w:rFonts w:ascii="Trebuchet MS" w:hAnsi="Trebuchet MS"/>
                <w:sz w:val="22"/>
                <w:szCs w:val="22"/>
                <w:lang w:val="en-US" w:eastAsia="en-US" w:bidi="ar-SA"/>
              </w:rPr>
              <w:t>.</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 xml:space="preserve">Pentru proiectele de infrastructură care se supun derulării procedurii de evaluare a impactului asupra mediului se vor avea în vedere prevederile Ordinului ministrului mediului, apelor și pădurilor nr. 269/2020 privind aprobarea ghidului general aplicabil etapelor procedurii de evaluare a impactului asupra mediului, a ghidului pentru evaluarea impactului asupra mediului în context transfrontalier și a altor ghiduri specifice pentru diferite domenii și categorii de proiecte, coroborat cu prevederile documentului </w:t>
            </w:r>
            <w:r>
              <w:rPr>
                <w:rStyle w:val="Emphasis"/>
                <w:rFonts w:eastAsia="" w:ascii="Trebuchet MS" w:hAnsi="Trebuchet MS" w:eastAsiaTheme="majorEastAsia"/>
                <w:sz w:val="22"/>
                <w:szCs w:val="22"/>
                <w:lang w:val="en-US" w:eastAsia="en-US" w:bidi="ar-SA"/>
              </w:rPr>
              <w:t>Orientările tehnice referitoare la imunizarea infrastructurii la schimbările climatice în perioada 2021-2027 (2021/C 373/01)</w:t>
            </w:r>
            <w:r>
              <w:rPr>
                <w:rFonts w:ascii="Trebuchet MS" w:hAnsi="Trebuchet MS"/>
                <w:sz w:val="22"/>
                <w:szCs w:val="22"/>
                <w:lang w:val="en-US" w:eastAsia="en-US" w:bidi="ar-SA"/>
              </w:rPr>
              <w:t>.</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AM PTJ, respectiv OI PTJ, după caz, va analiza la nivel de proiect/operațiune respectarea principiului DNSH de către beneficiar, pe baza listei de auto-evaluare DNSH, ce are ca scop verificarea îndeplinirii cerințelor aferente proiectelor după cum au fost stabilite în analiza DNSH la nivelul PTJ. De asemenea, se va avea în vedere analizarea și a celorlalte documente relevante anexate la cererea de finanțare (decizia etapei de încadrare în procedura de evaluare a impactului asupra mediului/clasarea notificării, documentația tehnico-economică, acolo unde este cazul, secțiunile relevante din cererea de finanțare, etc.).”</w:t>
            </w:r>
          </w:p>
          <w:p>
            <w:pPr>
              <w:pStyle w:val="NormalWeb"/>
              <w:widowControl/>
              <w:spacing w:before="28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4.</w:t>
            </w:r>
            <w:r>
              <w:rPr>
                <w:rFonts w:ascii="Trebuchet MS" w:hAnsi="Trebuchet MS"/>
                <w:sz w:val="22"/>
                <w:szCs w:val="22"/>
                <w:lang w:val="en-US" w:eastAsia="en-US" w:bidi="ar-SA"/>
              </w:rPr>
              <w:t xml:space="preserve"> Capitolul 5.2 </w:t>
            </w:r>
            <w:r>
              <w:rPr>
                <w:rStyle w:val="Emphasis"/>
                <w:rFonts w:eastAsia="" w:ascii="Trebuchet MS" w:hAnsi="Trebuchet MS" w:eastAsiaTheme="majorEastAsia"/>
                <w:sz w:val="22"/>
                <w:szCs w:val="22"/>
                <w:lang w:val="en-US" w:eastAsia="en-US" w:bidi="ar-SA"/>
              </w:rPr>
              <w:t>Cerințe privind eligibilitatea proiectului</w:t>
            </w:r>
            <w:r>
              <w:rPr>
                <w:rFonts w:ascii="Trebuchet MS" w:hAnsi="Trebuchet MS"/>
                <w:sz w:val="22"/>
                <w:szCs w:val="22"/>
                <w:lang w:val="en-US" w:eastAsia="en-US" w:bidi="ar-SA"/>
              </w:rPr>
              <w:t xml:space="preserve">, punctul 2) </w:t>
            </w:r>
            <w:r>
              <w:rPr>
                <w:rStyle w:val="Emphasis"/>
                <w:rFonts w:eastAsia="" w:ascii="Trebuchet MS" w:hAnsi="Trebuchet MS" w:eastAsiaTheme="majorEastAsia"/>
                <w:sz w:val="22"/>
                <w:szCs w:val="22"/>
                <w:lang w:val="en-US" w:eastAsia="en-US" w:bidi="ar-SA"/>
              </w:rPr>
              <w:t>Domeniul de activitate în care se realizează proiectul</w:t>
            </w:r>
            <w:r>
              <w:rPr>
                <w:rFonts w:ascii="Trebuchet MS" w:hAnsi="Trebuchet MS"/>
                <w:sz w:val="22"/>
                <w:szCs w:val="22"/>
                <w:lang w:val="en-US" w:eastAsia="en-US" w:bidi="ar-SA"/>
              </w:rPr>
              <w:t>:</w:t>
              <w:br/>
              <w:t>„Prin excepție, în cazul unei cereri de finanțare care presupune înființarea unui sediu secundar (punct de lucru) ori activarea într-un nou domeniu de activitate ca urmare a realizării proiectului, solicitantul se va angaja (prin declarația unică) ca, până la prima plată a ajutorului, dar nu mai târziu de finalizarea implementării proiectului, să înregistreze locul de implementare ca punct de lucru.”</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 xml:space="preserve">Punctul 3) </w:t>
            </w:r>
            <w:r>
              <w:rPr>
                <w:rStyle w:val="Emphasis"/>
                <w:rFonts w:eastAsia="" w:ascii="Trebuchet MS" w:hAnsi="Trebuchet MS" w:eastAsiaTheme="majorEastAsia"/>
                <w:sz w:val="22"/>
                <w:szCs w:val="22"/>
                <w:lang w:val="en-US" w:eastAsia="en-US" w:bidi="ar-SA"/>
              </w:rPr>
              <w:t>Locul de implementare</w:t>
            </w:r>
            <w:r>
              <w:rPr>
                <w:rFonts w:ascii="Trebuchet MS" w:hAnsi="Trebuchet MS"/>
                <w:sz w:val="22"/>
                <w:szCs w:val="22"/>
                <w:lang w:val="en-US" w:eastAsia="en-US" w:bidi="ar-SA"/>
              </w:rPr>
              <w:t>:</w:t>
              <w:br/>
              <w:t>„Până la data primei plăți din ajutorul de minimis, dar nu mai târziu de finalizarea implementării proiectului, solicitantul trebuie să aibă locul de implementare a proiectului înregistrat ca sediu principal sau secundar în zona vizată de apel.</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Cu toate acestea, locul de implementare trebuie identificat în cadrul cererii de finanțare, descris în cadrul planului de afaceri (Anexa 5) și trebuie să fie adecvat proiectului. În situația unei cereri de finanțare care presupune înființarea unui sediu secundar ca urmare a realizării proiectului, solicitantul se va angaja (prin Declarația unică) ca, până la prima plată a ajutorului, dar nu mai târziu de finalizarea implementării proiectului, să înregistreze locul de implementare ca sediu principal/secundar în zona vizată de apel.</w:t>
            </w:r>
          </w:p>
          <w:p>
            <w:pPr>
              <w:pStyle w:val="NormalWeb"/>
              <w:widowControl/>
              <w:spacing w:before="280" w:after="0"/>
              <w:jc w:val="both"/>
              <w:rPr>
                <w:rStyle w:val="Strong"/>
                <w:rFonts w:ascii="Trebuchet MS" w:hAnsi="Trebuchet MS"/>
                <w:b w:val="false"/>
                <w:bCs w:val="false"/>
                <w:sz w:val="22"/>
                <w:szCs w:val="22"/>
              </w:rPr>
            </w:pPr>
            <w:r>
              <w:rPr>
                <w:rFonts w:ascii="Trebuchet MS" w:hAnsi="Trebuchet MS"/>
                <w:sz w:val="22"/>
                <w:szCs w:val="22"/>
                <w:lang w:val="en-US" w:eastAsia="en-US" w:bidi="ar-SA"/>
              </w:rPr>
              <w:t>Dacă solicitantul are deja sediul/punctul de lucru înregistrat și autorizat în zona vizată de apel, dar la acea locație nu a desfășurat activitate economică, sunt eligibile doar proiectele de investiții care nu presupun doar achiziția de echipamente sau dotări. Astfel, dacă la sediu/punctul de lucru nu s-a desfășurat activitate economică, acesta va fi tratat ca un punct de lucru nou, caz în care proiectul promovat trebuie să vizeze investiții în infrastructură.</w:t>
            </w:r>
          </w:p>
        </w:tc>
      </w:tr>
      <w:tr>
        <w:trPr>
          <w:trHeight w:val="227" w:hRule="atLeast"/>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13</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25716/28.04.2025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 xml:space="preserve">Vă rog să mă ajutați cu următoarele informații pentru 2 potențiale proiecte ce urmează a se depune pe Schema </w:t>
            </w:r>
            <w:r>
              <w:rPr>
                <w:rStyle w:val="Emphasis"/>
                <w:rFonts w:eastAsia="" w:ascii="Trebuchet MS" w:hAnsi="Trebuchet MS" w:eastAsiaTheme="majorEastAsia"/>
                <w:sz w:val="22"/>
                <w:szCs w:val="22"/>
                <w:lang w:val="en-US" w:eastAsia="en-US" w:bidi="ar-SA"/>
              </w:rPr>
              <w:t>„Intervenții care sprijină dezvoltarea întreprinderilor și a antreprenoriatului”</w:t>
            </w:r>
            <w:r>
              <w:rPr>
                <w:rFonts w:ascii="Trebuchet MS" w:hAnsi="Trebuchet MS"/>
                <w:sz w:val="22"/>
                <w:szCs w:val="22"/>
                <w:lang w:val="en-US" w:eastAsia="en-US" w:bidi="ar-SA"/>
              </w:rPr>
              <w:t xml:space="preserve">, componenta </w:t>
            </w:r>
            <w:r>
              <w:rPr>
                <w:rStyle w:val="Emphasis"/>
                <w:rFonts w:eastAsia="" w:ascii="Trebuchet MS" w:hAnsi="Trebuchet MS" w:eastAsiaTheme="majorEastAsia"/>
                <w:sz w:val="22"/>
                <w:szCs w:val="22"/>
                <w:lang w:val="en-US" w:eastAsia="en-US" w:bidi="ar-SA"/>
              </w:rPr>
              <w:t>„Sprijin pentru creșterea durabilă a microîntreprinderilor și crearea de locuri de muncă”</w:t>
            </w:r>
            <w:r>
              <w:rPr>
                <w:rFonts w:ascii="Trebuchet MS" w:hAnsi="Trebuchet MS"/>
                <w:sz w:val="22"/>
                <w:szCs w:val="22"/>
                <w:lang w:val="en-US" w:eastAsia="en-US" w:bidi="ar-SA"/>
              </w:rPr>
              <w:t xml:space="preserve"> din cadrul Programului Tranziție Justă 2021-2027:</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1.Firma deține un imobil care este intabulat și are destinație de locuință – când trebuie schimbată destinația (la depunerea proiectului sau pe parcursul implementării acestuia)?</w:t>
            </w:r>
          </w:p>
          <w:p>
            <w:pPr>
              <w:pStyle w:val="NormalWeb"/>
              <w:widowControl/>
              <w:spacing w:before="280" w:after="0"/>
              <w:jc w:val="both"/>
              <w:rPr>
                <w:rStyle w:val="Strong"/>
                <w:rFonts w:ascii="Trebuchet MS" w:hAnsi="Trebuchet MS"/>
                <w:b w:val="false"/>
                <w:bCs w:val="false"/>
                <w:sz w:val="22"/>
                <w:szCs w:val="22"/>
              </w:rPr>
            </w:pPr>
            <w:r>
              <w:rPr>
                <w:rFonts w:ascii="Trebuchet MS" w:hAnsi="Trebuchet MS"/>
                <w:sz w:val="22"/>
                <w:szCs w:val="22"/>
                <w:lang w:val="en-US" w:eastAsia="en-US" w:bidi="ar-SA"/>
              </w:rPr>
              <w:t>2.Schimbarea acționariatului unei societăți înainte de depunerea proiectului este considerată creare de condiții artificiale? (în ghidul de la POR se specifică acest lucru, însă la PTJ nu se face nicio referire).</w:t>
            </w:r>
          </w:p>
        </w:tc>
        <w:tc>
          <w:tcPr>
            <w:tcW w:w="5113"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În urma solicitării dvs., vă transmitem următoarele informații:</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 xml:space="preserve">1.Conform ghidului solicitantului, capitolului 5.2 </w:t>
            </w:r>
            <w:r>
              <w:rPr>
                <w:rStyle w:val="Strong"/>
                <w:rFonts w:eastAsia="" w:ascii="Trebuchet MS" w:hAnsi="Trebuchet MS" w:eastAsiaTheme="majorEastAsia"/>
                <w:sz w:val="22"/>
                <w:szCs w:val="22"/>
                <w:lang w:val="en-US" w:eastAsia="en-US" w:bidi="ar-SA"/>
              </w:rPr>
              <w:t>Cerințe privind eligibilitatea proiectului</w:t>
            </w:r>
            <w:r>
              <w:rPr>
                <w:rFonts w:ascii="Trebuchet MS" w:hAnsi="Trebuchet MS"/>
                <w:sz w:val="22"/>
                <w:szCs w:val="22"/>
                <w:lang w:val="en-US" w:eastAsia="en-US" w:bidi="ar-SA"/>
              </w:rPr>
              <w:t xml:space="preserve">, pct. 2 </w:t>
            </w:r>
            <w:r>
              <w:rPr>
                <w:rStyle w:val="Strong"/>
                <w:rFonts w:eastAsia="" w:ascii="Trebuchet MS" w:hAnsi="Trebuchet MS" w:eastAsiaTheme="majorEastAsia"/>
                <w:sz w:val="22"/>
                <w:szCs w:val="22"/>
                <w:lang w:val="en-US" w:eastAsia="en-US" w:bidi="ar-SA"/>
              </w:rPr>
              <w:t>Domeniul de activitate în care se realizează proiectul</w:t>
            </w:r>
            <w:r>
              <w:rPr>
                <w:rFonts w:ascii="Trebuchet MS" w:hAnsi="Trebuchet MS"/>
                <w:sz w:val="22"/>
                <w:szCs w:val="22"/>
                <w:lang w:val="en-US" w:eastAsia="en-US" w:bidi="ar-SA"/>
              </w:rPr>
              <w:t>:</w:t>
              <w:br/>
              <w:t>„La depunerea cererii de finanțare, solicitantul trebuie să aibă deja domeniul/domeniile pentru care se acordă sprijin (clase CAEN) în vederea realizării investiției, înscris/e în obiectul de activitate (conform certificatului constatator ORC), indiferent dacă reprezintă activitatea principală sau secundară a întreprinderii. La depunerea cererii de finanțare, solicitantul trebuie să aibă deja domeniul/domeniile de activitate eligibile vizat/e de investiția realizată prin proiect, autorizat/e.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Prin excepție, în cazul unei cereri de finanțare care presupune înființarea unui sediu secundar (punct de lucru) ori activarea într-un nou domeniu de activitate ca urmare a realizării proiectului, solicitantul se va angaja (prin declarația unică) ca, până la prima plată a ajutorului, dar nu mai târziu de finalizarea implementării proiectului, să înregistreze locul de implementare ca punct de lucru.</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Prin excepție, în cazul unei cereri de finanțare care presupune activarea într-un nou domeniu de activitate ca urmare a realizării proiectului, solicitantul se va angaja (prin declarația unică), ca până la prima plată a ajutorului, dar nu mai târziu de finalizarea implementării proiectului, să autorizeze domeniul de activitate (clasa/clasele CAEN) vizat/e de proiect la locul de implementare ca punct de lucru.”</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2.În ceea ce privește întrebarea referitoare la schimbarea acționariatului înainte de depunerea proiectului, menționăm că nu există prevederi legate de acest aspect.</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Totodată, vă reamintim că solicitantul trebuie să îndeplinească toate condițiile de eligibilitate prevăzute în ghidul solicitantului.</w:t>
            </w:r>
          </w:p>
          <w:p>
            <w:pPr>
              <w:pStyle w:val="NormalWeb"/>
              <w:widowControl/>
              <w:spacing w:before="280" w:after="0"/>
              <w:jc w:val="both"/>
              <w:rPr>
                <w:rStyle w:val="Strong"/>
                <w:rFonts w:ascii="Trebuchet MS" w:hAnsi="Trebuchet MS"/>
                <w:b w:val="false"/>
                <w:bCs w:val="false"/>
                <w:sz w:val="22"/>
                <w:szCs w:val="22"/>
              </w:rPr>
            </w:pPr>
            <w:r>
              <w:rPr>
                <w:rFonts w:ascii="Trebuchet MS" w:hAnsi="Trebuchet MS"/>
                <w:sz w:val="22"/>
                <w:szCs w:val="22"/>
                <w:lang w:val="en-US" w:eastAsia="en-US" w:bidi="ar-SA"/>
              </w:rPr>
              <w:t xml:space="preserve">Vă rugăm să consultați periodic pagina de internet a MIPE, pentru informații actualizate privind apelurile de proiecte PTJ, precum și instrucțiunile emise de AM PTJ/MIPE: </w:t>
            </w:r>
            <w:hyperlink r:id="rId27" w:tgtFrame="_new">
              <w:r>
                <w:rPr>
                  <w:rStyle w:val="Hyperlink"/>
                  <w:rFonts w:eastAsia="" w:ascii="Trebuchet MS" w:hAnsi="Trebuchet MS" w:eastAsiaTheme="majorEastAsia"/>
                  <w:sz w:val="22"/>
                  <w:szCs w:val="22"/>
                  <w:lang w:val="en-US" w:eastAsia="en-US" w:bidi="ar-SA"/>
                </w:rPr>
                <w:t>https://mfe.gov.ro/ptj/despre-program-programare/</w:t>
              </w:r>
            </w:hyperlink>
            <w:r>
              <w:rPr>
                <w:rFonts w:ascii="Trebuchet MS" w:hAnsi="Trebuchet MS"/>
                <w:sz w:val="22"/>
                <w:szCs w:val="22"/>
                <w:lang w:val="en-US" w:eastAsia="en-US" w:bidi="ar-SA"/>
              </w:rPr>
              <w:t>.</w:t>
            </w:r>
          </w:p>
        </w:tc>
      </w:tr>
      <w:tr>
        <w:trPr>
          <w:trHeight w:val="227" w:hRule="atLeast"/>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14</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27037/05.05.2025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Email</w:t>
            </w:r>
          </w:p>
        </w:tc>
        <w:tc>
          <w:tcPr>
            <w:tcW w:w="4152"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 xml:space="preserve">Cu privire la </w:t>
            </w:r>
            <w:r>
              <w:rPr>
                <w:rStyle w:val="Strong"/>
                <w:rFonts w:eastAsia="" w:ascii="Trebuchet MS" w:hAnsi="Trebuchet MS" w:eastAsiaTheme="majorEastAsia"/>
                <w:sz w:val="22"/>
                <w:szCs w:val="22"/>
                <w:lang w:val="en-US" w:eastAsia="en-US" w:bidi="ar-SA"/>
              </w:rPr>
              <w:t>Programul Tranziție Justă 2021-2027</w:t>
            </w:r>
            <w:r>
              <w:rPr>
                <w:rFonts w:ascii="Trebuchet MS" w:hAnsi="Trebuchet MS"/>
                <w:sz w:val="22"/>
                <w:szCs w:val="22"/>
                <w:lang w:val="en-US" w:eastAsia="en-US" w:bidi="ar-SA"/>
              </w:rPr>
              <w:t xml:space="preserve">, acțiunea „Dezvoltarea întreprinderilor și a antreprenoriatului”, componenta prin care este sprijinită creșterea durabilă a microîntreprinderilor și crearea de noi locuri de muncă – </w:t>
            </w:r>
            <w:r>
              <w:rPr>
                <w:rStyle w:val="Strong"/>
                <w:rFonts w:eastAsia="" w:ascii="Trebuchet MS" w:hAnsi="Trebuchet MS" w:eastAsiaTheme="majorEastAsia"/>
                <w:sz w:val="22"/>
                <w:szCs w:val="22"/>
                <w:lang w:val="en-US" w:eastAsia="en-US" w:bidi="ar-SA"/>
              </w:rPr>
              <w:t>Ghidul solicitantului publicat în data de 25.10.2023, aflat în consultare publică</w:t>
            </w:r>
            <w:r>
              <w:rPr>
                <w:rFonts w:ascii="Trebuchet MS" w:hAnsi="Trebuchet MS"/>
                <w:sz w:val="22"/>
                <w:szCs w:val="22"/>
                <w:lang w:val="en-US" w:eastAsia="en-US" w:bidi="ar-SA"/>
              </w:rPr>
              <w:t>, vă rog să-mi transmiteți punctul dvs. de vedere cu privire la următoarea situație: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-Sunt asociat unic în cadrul a două microîntreprinderi (SRL-uri) cu același obiect de activitate și situate în locații limitrofe;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 xml:space="preserve">-Cele două microîntreprinderi </w:t>
            </w:r>
            <w:r>
              <w:rPr>
                <w:rStyle w:val="Strong"/>
                <w:rFonts w:eastAsia="" w:ascii="Trebuchet MS" w:hAnsi="Trebuchet MS" w:eastAsiaTheme="majorEastAsia"/>
                <w:sz w:val="22"/>
                <w:szCs w:val="22"/>
                <w:lang w:val="en-US" w:eastAsia="en-US" w:bidi="ar-SA"/>
              </w:rPr>
              <w:t>nu formează întreprindere unică</w:t>
            </w:r>
            <w:r>
              <w:rPr>
                <w:rFonts w:ascii="Trebuchet MS" w:hAnsi="Trebuchet MS"/>
                <w:sz w:val="22"/>
                <w:szCs w:val="22"/>
                <w:lang w:val="en-US" w:eastAsia="en-US" w:bidi="ar-SA"/>
              </w:rPr>
              <w:t>, conform Ghidului solicitantului aflat în consultare publică, art. 3.4;</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-Ambele microîntreprinderi au un număr de 3 salariați.</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 xml:space="preserve">Vă rog să-mi comunicați dacă pot depune </w:t>
            </w:r>
            <w:r>
              <w:rPr>
                <w:rStyle w:val="Strong"/>
                <w:rFonts w:eastAsia="" w:ascii="Trebuchet MS" w:hAnsi="Trebuchet MS" w:eastAsiaTheme="majorEastAsia"/>
                <w:sz w:val="22"/>
                <w:szCs w:val="22"/>
                <w:lang w:val="en-US" w:eastAsia="en-US" w:bidi="ar-SA"/>
              </w:rPr>
              <w:t>două proiecte distincte</w:t>
            </w:r>
            <w:r>
              <w:rPr>
                <w:rFonts w:ascii="Trebuchet MS" w:hAnsi="Trebuchet MS"/>
                <w:sz w:val="22"/>
                <w:szCs w:val="22"/>
                <w:lang w:val="en-US" w:eastAsia="en-US" w:bidi="ar-SA"/>
              </w:rPr>
              <w:t xml:space="preserve"> pe Programul Tranziție Justă, câte unul pentru fiecare microîntreprindere, având în vedere faptul că:</w:t>
            </w:r>
          </w:p>
          <w:p>
            <w:pPr>
              <w:pStyle w:val="NormalWeb"/>
              <w:widowControl/>
              <w:numPr>
                <w:ilvl w:val="0"/>
                <w:numId w:val="23"/>
              </w:numPr>
              <w:spacing w:before="280" w:after="0"/>
              <w:jc w:val="both"/>
              <w:rPr>
                <w:rFonts w:ascii="Trebuchet MS" w:hAnsi="Trebuchet MS"/>
                <w:sz w:val="22"/>
                <w:szCs w:val="22"/>
              </w:rPr>
            </w:pPr>
            <w:r>
              <w:rPr>
                <w:rFonts w:ascii="Trebuchet MS" w:hAnsi="Trebuchet MS"/>
                <w:sz w:val="22"/>
                <w:szCs w:val="22"/>
                <w:lang w:val="en-US" w:eastAsia="en-US" w:bidi="ar-SA"/>
              </w:rPr>
              <w:t>cele două microîntreprinderi au același asociat unic,</w:t>
            </w:r>
          </w:p>
          <w:p>
            <w:pPr>
              <w:pStyle w:val="NormalWeb"/>
              <w:widowControl/>
              <w:numPr>
                <w:ilvl w:val="0"/>
                <w:numId w:val="23"/>
              </w:numPr>
              <w:spacing w:before="0" w:after="0"/>
              <w:jc w:val="both"/>
              <w:rPr>
                <w:rFonts w:ascii="Trebuchet MS" w:hAnsi="Trebuchet MS"/>
                <w:sz w:val="22"/>
                <w:szCs w:val="22"/>
              </w:rPr>
            </w:pPr>
            <w:r>
              <w:rPr>
                <w:rFonts w:ascii="Trebuchet MS" w:hAnsi="Trebuchet MS"/>
                <w:sz w:val="22"/>
                <w:szCs w:val="22"/>
                <w:lang w:val="en-US" w:eastAsia="en-US" w:bidi="ar-SA"/>
              </w:rPr>
              <w:t>desfășoară același domeniu de activitate,</w:t>
            </w:r>
          </w:p>
          <w:p>
            <w:pPr>
              <w:pStyle w:val="NormalWeb"/>
              <w:widowControl/>
              <w:numPr>
                <w:ilvl w:val="0"/>
                <w:numId w:val="23"/>
              </w:numPr>
              <w:spacing w:before="0" w:after="280"/>
              <w:jc w:val="both"/>
              <w:rPr>
                <w:rStyle w:val="Strong"/>
                <w:rFonts w:ascii="Trebuchet MS" w:hAnsi="Trebuchet MS"/>
                <w:b w:val="false"/>
                <w:bCs w:val="false"/>
                <w:sz w:val="22"/>
                <w:szCs w:val="22"/>
              </w:rPr>
            </w:pPr>
            <w:r>
              <w:rPr>
                <w:rFonts w:ascii="Trebuchet MS" w:hAnsi="Trebuchet MS"/>
                <w:sz w:val="22"/>
                <w:szCs w:val="22"/>
                <w:lang w:val="en-US" w:eastAsia="en-US" w:bidi="ar-SA"/>
              </w:rPr>
              <w:t>se află în locații limitrofe,</w:t>
              <w:br/>
              <w:t>și ținând cont de prevederile Ghidului solicitantului aflat în consultare publică.</w:t>
            </w:r>
          </w:p>
        </w:tc>
        <w:tc>
          <w:tcPr>
            <w:tcW w:w="5113"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Având la bază doar informațiile oferite de dumneavoastră prin e-mail, considerăm că nu există restricții privind depunerea proiectelor în condițiile menționate.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 xml:space="preserve">Menționăm, de asemenea, că </w:t>
            </w:r>
            <w:r>
              <w:rPr>
                <w:rStyle w:val="Strong"/>
                <w:rFonts w:eastAsia="" w:ascii="Trebuchet MS" w:hAnsi="Trebuchet MS" w:eastAsiaTheme="majorEastAsia"/>
                <w:sz w:val="22"/>
                <w:szCs w:val="22"/>
                <w:lang w:val="en-US" w:eastAsia="en-US" w:bidi="ar-SA"/>
              </w:rPr>
              <w:t>Ministerul Investițiilor și Proiectelor Europene</w:t>
            </w:r>
            <w:r>
              <w:rPr>
                <w:rFonts w:ascii="Trebuchet MS" w:hAnsi="Trebuchet MS"/>
                <w:sz w:val="22"/>
                <w:szCs w:val="22"/>
                <w:lang w:val="en-US" w:eastAsia="en-US" w:bidi="ar-SA"/>
              </w:rPr>
              <w:t xml:space="preserve">, în calitate de Autoritate de Management pentru Programul Tranziție Justă (PTJ), a lansat în data de </w:t>
            </w:r>
            <w:r>
              <w:rPr>
                <w:rStyle w:val="Strong"/>
                <w:rFonts w:eastAsia="" w:ascii="Trebuchet MS" w:hAnsi="Trebuchet MS" w:eastAsiaTheme="majorEastAsia"/>
                <w:sz w:val="22"/>
                <w:szCs w:val="22"/>
                <w:lang w:val="en-US" w:eastAsia="en-US" w:bidi="ar-SA"/>
              </w:rPr>
              <w:t>16 aprilie</w:t>
            </w:r>
            <w:r>
              <w:rPr>
                <w:rFonts w:ascii="Trebuchet MS" w:hAnsi="Trebuchet MS"/>
                <w:sz w:val="22"/>
                <w:szCs w:val="22"/>
                <w:lang w:val="en-US" w:eastAsia="en-US" w:bidi="ar-SA"/>
              </w:rPr>
              <w:t xml:space="preserve"> Ghidul solicitantului pentru acțiunea „</w:t>
            </w:r>
            <w:r>
              <w:rPr>
                <w:rStyle w:val="Strong"/>
                <w:rFonts w:eastAsia="" w:ascii="Trebuchet MS" w:hAnsi="Trebuchet MS" w:eastAsiaTheme="majorEastAsia"/>
                <w:sz w:val="22"/>
                <w:szCs w:val="22"/>
                <w:lang w:val="en-US" w:eastAsia="en-US" w:bidi="ar-SA"/>
              </w:rPr>
              <w:t>Dezvoltarea întreprinderilor și a antreprenoriatului</w:t>
            </w:r>
            <w:r>
              <w:rPr>
                <w:rFonts w:ascii="Trebuchet MS" w:hAnsi="Trebuchet MS"/>
                <w:sz w:val="22"/>
                <w:szCs w:val="22"/>
                <w:lang w:val="en-US" w:eastAsia="en-US" w:bidi="ar-SA"/>
              </w:rPr>
              <w:t>” – componenta „</w:t>
            </w:r>
            <w:r>
              <w:rPr>
                <w:rStyle w:val="Strong"/>
                <w:rFonts w:eastAsia="" w:ascii="Trebuchet MS" w:hAnsi="Trebuchet MS" w:eastAsiaTheme="majorEastAsia"/>
                <w:sz w:val="22"/>
                <w:szCs w:val="22"/>
                <w:lang w:val="en-US" w:eastAsia="en-US" w:bidi="ar-SA"/>
              </w:rPr>
              <w:t>Sprijin pentru creșterea durabilă a microîntreprinderilor și crearea de locuri de muncă</w:t>
            </w:r>
            <w:r>
              <w:rPr>
                <w:rFonts w:ascii="Trebuchet MS" w:hAnsi="Trebuchet MS"/>
                <w:sz w:val="22"/>
                <w:szCs w:val="22"/>
                <w:lang w:val="en-US" w:eastAsia="en-US" w:bidi="ar-SA"/>
              </w:rPr>
              <w:t>”.</w:t>
            </w:r>
          </w:p>
          <w:p>
            <w:pPr>
              <w:pStyle w:val="NormalWeb"/>
              <w:widowControl/>
              <w:spacing w:before="280" w:after="0"/>
              <w:jc w:val="both"/>
              <w:rPr>
                <w:rStyle w:val="Strong"/>
                <w:rFonts w:ascii="Trebuchet MS" w:hAnsi="Trebuchet MS"/>
                <w:b w:val="false"/>
                <w:bCs w:val="false"/>
                <w:sz w:val="22"/>
                <w:szCs w:val="22"/>
              </w:rPr>
            </w:pPr>
            <w:r>
              <w:rPr>
                <w:rFonts w:ascii="Trebuchet MS" w:hAnsi="Trebuchet MS"/>
                <w:sz w:val="22"/>
                <w:szCs w:val="22"/>
                <w:lang w:val="en-US" w:eastAsia="en-US" w:bidi="ar-SA"/>
              </w:rPr>
              <w:t xml:space="preserve">Accesând pagina de internet </w:t>
            </w:r>
            <w:hyperlink r:id="rId28" w:tgtFrame="_new">
              <w:r>
                <w:rPr>
                  <w:rStyle w:val="Hyperlink"/>
                  <w:rFonts w:eastAsia="" w:ascii="Trebuchet MS" w:hAnsi="Trebuchet MS" w:eastAsiaTheme="majorEastAsia"/>
                  <w:sz w:val="22"/>
                  <w:szCs w:val="22"/>
                  <w:lang w:val="en-US" w:eastAsia="en-US" w:bidi="ar-SA"/>
                </w:rPr>
                <w:t>www.adroltenia.ro</w:t>
              </w:r>
            </w:hyperlink>
            <w:r>
              <w:rPr>
                <w:rFonts w:ascii="Trebuchet MS" w:hAnsi="Trebuchet MS"/>
                <w:sz w:val="22"/>
                <w:szCs w:val="22"/>
                <w:lang w:val="en-US" w:eastAsia="en-US" w:bidi="ar-SA"/>
              </w:rPr>
              <w:t xml:space="preserve">, secțiunea dedicată PTJ, puteți descărca forma finală a Ghidului solicitantului: </w:t>
            </w:r>
            <w:hyperlink r:id="rId29" w:tgtFrame="_new">
              <w:r>
                <w:rPr>
                  <w:rStyle w:val="Hyperlink"/>
                  <w:rFonts w:eastAsia="" w:ascii="Trebuchet MS" w:hAnsi="Trebuchet MS" w:eastAsiaTheme="majorEastAsia"/>
                  <w:sz w:val="22"/>
                  <w:szCs w:val="22"/>
                  <w:lang w:val="en-US" w:eastAsia="en-US" w:bidi="ar-SA"/>
                </w:rPr>
                <w:t>https://ptj2021-2027.adroltenia.ro/lansare-apel-de-proiecte-pentru-finantarea-microintreprinderilor/</w:t>
              </w:r>
            </w:hyperlink>
          </w:p>
        </w:tc>
      </w:tr>
      <w:tr>
        <w:trPr>
          <w:trHeight w:val="227" w:hRule="atLeast"/>
        </w:trPr>
        <w:tc>
          <w:tcPr>
            <w:tcW w:w="61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15</w:t>
            </w:r>
          </w:p>
        </w:tc>
        <w:tc>
          <w:tcPr>
            <w:tcW w:w="2108"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t>27213/06.05.2025</w:t>
            </w:r>
          </w:p>
        </w:tc>
        <w:tc>
          <w:tcPr>
            <w:tcW w:w="1421" w:type="dxa"/>
            <w:tcBorders/>
          </w:tcPr>
          <w:p>
            <w:pPr>
              <w:pStyle w:val="Normal"/>
              <w:widowControl/>
              <w:spacing w:lineRule="auto" w:line="240" w:before="0" w:after="0"/>
              <w:jc w:val="both"/>
              <w:rPr>
                <w:rFonts w:ascii="Trebuchet MS" w:hAnsi="Trebuchet MS"/>
                <w:sz w:val="22"/>
                <w:szCs w:val="22"/>
                <w:lang w:val="ro-RO"/>
              </w:rPr>
            </w:pPr>
            <w:r>
              <w:rPr>
                <w:rFonts w:eastAsia="Aptos" w:cs="" w:ascii="Trebuchet MS" w:hAnsi="Trebuchet MS"/>
                <w:kern w:val="2"/>
                <w:sz w:val="22"/>
                <w:szCs w:val="22"/>
                <w:lang w:val="ro-RO" w:eastAsia="en-US" w:bidi="ar-SA"/>
              </w:rPr>
            </w:r>
          </w:p>
        </w:tc>
        <w:tc>
          <w:tcPr>
            <w:tcW w:w="4152"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Vă rog să mă ajutați cu clarificarea următoarelor aspecte: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1.Conform Ghidului Solicitantului art. 5.2.1:</w:t>
              <w:br/>
              <w:t>,,Finanțarea este deschisă microîntreprinderilor care doresc să promoveze în județele vizate de PTJ proiecte integrate care: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1.includ spații noi de producție/servicii, modernizarea sau extinderea spațiilor de producție/prestare de servicii existente și dotarea cu active corporale și/sau necorporale, precum și alte activități care susțin dezvoltarea economică a microîntreprinderii.</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2.conduc la crearea și menținerea de locuri de muncă sustenabile din punct de vedere al mediului, în special pentru persoanele afectate de procesul de tranziție la neutralitatea climatică la nivelul teritoriului, precum și pentru cele care se încadrează în categoria lucrătorilor defavorizați, a celor extrem de defavorizați și a lucrătorilor cu handicap."</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Conform art. 5.2.3:</w:t>
              <w:br/>
              <w:t>,,Dacă solicitantul are deja sediul/punctul de lucru înregistrat și autorizat în zona vizată de apel, dar la acea locație nu a desfășurat activitate economică, sunt eligibile doar proiectele de investiții care nu presupun doar achiziția de echipamente sau dotări. Astfel dacă la sediu/punctul de lucru nu s-a desfășurat activitate economică, acesta va fi tratat ca un punct de lucru nou, caz în care proiectul promovat trebuie să vizeze investiții în infrastructură."</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Având în vedere cele de mai sus, vă rog să precizați dacă la un punct de lucru înregistrat în zona vizată de apel, în care a fost desfășurată o activitate economică diferită de cea propusă prin proiect, poate fi propus spre finanțare un proiect ce presupune doar achiziția de echipamente sau dotări, necesare pentru demararea unei noi activități.</w:t>
              <w:br/>
              <w:t>Care este data de referință pentru desfășurarea activității economice prevăzute de art. 5.2.3., respectiv cerința de desfășurare de activități economice la punctul de lucru se raportează la data depunerii cererii/ anul anterior depunerii cererii/altă dată de referință.</w:t>
            </w:r>
          </w:p>
          <w:p>
            <w:pPr>
              <w:pStyle w:val="NormalWeb"/>
              <w:widowControl/>
              <w:spacing w:before="280" w:after="0"/>
              <w:jc w:val="both"/>
              <w:rPr>
                <w:rStyle w:val="Strong"/>
                <w:rFonts w:ascii="Trebuchet MS" w:hAnsi="Trebuchet MS"/>
                <w:b w:val="false"/>
                <w:bCs w:val="false"/>
                <w:sz w:val="22"/>
                <w:szCs w:val="22"/>
              </w:rPr>
            </w:pPr>
            <w:r>
              <w:rPr>
                <w:rFonts w:ascii="Trebuchet MS" w:hAnsi="Trebuchet MS"/>
                <w:sz w:val="22"/>
                <w:szCs w:val="22"/>
                <w:lang w:val="en-US" w:eastAsia="en-US" w:bidi="ar-SA"/>
              </w:rPr>
              <w:t>2.Conform art. 5.3.2 lucrările de modernizare pot fi considerate eligibile doar în măsura în care sunt aferente și intrinsec legate de investițiile propuse prin proiect, nu presupun doar îmbunătățirea parametrilor tehnici inițiali, ci implică modificări/îmbunătățiri substanțiale ale infrastructurii existente. Lucrările de modernizare nu se referă la simple lucrări de amenajare/reamenajare a spațiilor de producție/prestare de servicii existente ale întreprinderii.</w:t>
              <w:br/>
              <w:t>Ce se înțelege prin modificări/îmbunătățiri substanțiale? Compartimentarea unui spațiu pentru obținerea unui spațiu producție, vestiare, grupuri sanitare cu dușuri inclusiv montare gresie, faianță, obiecte sanitare, înlocuirea geamurilor, pot fi considerate îmbunătățiri substanțiale?</w:t>
            </w:r>
          </w:p>
        </w:tc>
        <w:tc>
          <w:tcPr>
            <w:tcW w:w="5113" w:type="dxa"/>
            <w:tcBorders/>
          </w:tcPr>
          <w:p>
            <w:pPr>
              <w:pStyle w:val="NormalWeb"/>
              <w:widowControl/>
              <w:spacing w:before="0" w:after="280"/>
              <w:jc w:val="both"/>
              <w:rPr>
                <w:rFonts w:ascii="Trebuchet MS" w:hAnsi="Trebuchet MS"/>
                <w:sz w:val="22"/>
                <w:szCs w:val="22"/>
              </w:rPr>
            </w:pPr>
            <w:r>
              <w:rPr>
                <w:rFonts w:ascii="Trebuchet MS" w:hAnsi="Trebuchet MS"/>
                <w:sz w:val="22"/>
                <w:szCs w:val="22"/>
                <w:lang w:val="en-US" w:eastAsia="en-US" w:bidi="ar-SA"/>
              </w:rPr>
              <w:t>Stimată doamnă,</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Ca urmare a solicitărilor dvs., vă transmitem următoarele informații:</w:t>
            </w:r>
          </w:p>
          <w:p>
            <w:pPr>
              <w:pStyle w:val="NormalWeb"/>
              <w:widowControl/>
              <w:spacing w:before="28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1.Răspuns:</w:t>
            </w:r>
            <w:r>
              <w:rPr>
                <w:rFonts w:ascii="Trebuchet MS" w:hAnsi="Trebuchet MS"/>
                <w:sz w:val="22"/>
                <w:szCs w:val="22"/>
                <w:lang w:val="en-US" w:eastAsia="en-US" w:bidi="ar-SA"/>
              </w:rPr>
              <w:br/>
              <w:t>În cazul în care la punct de lucru a fost desfășurată o activitate economică, nu sunt aplicabile prevederile art. 5.2.3:</w:t>
              <w:br/>
              <w:t>„Dacă solicitantul are deja sediul/punctul de lucru înregistrat și autorizat în zona vizată de apel, dar la acea locație nu a desfășurat activitate economică, sunt eligibile doar proiectele de investiții care nu presupun doar achiziția de echipamente sau dotări. Astfel, dacă la sediu/punctul de lucru nu s-a desfășurat activitate economică, acesta va fi tratat ca un punct de lucru nou, caz în care proiectul promovat trebuie să vizeze investiții în infrastructură.”</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Având în vedere cele înscrise la punctul 5.2.3 din Ghidul Solicitantului, în situația în care anterior depunerii proiectului au fost desfășurate activități economice ce pot fi fundamentate/justificate, chiar și într-un domeniu de activitate diferit de domeniul pentru care se solicită sprijin, considerăm că în speța expusă acestea nu sunt aplicabile acestei prevederi, motiv pentru care puteți depune un proiect care să vizeze doar achiziția de echipamente sau dotări.</w:t>
            </w:r>
          </w:p>
          <w:p>
            <w:pPr>
              <w:pStyle w:val="NormalWeb"/>
              <w:widowControl/>
              <w:spacing w:before="28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-Care este data de referință pentru desfășurarea activității economice prevăzute de art. 5.2.3., respectiv cerința de desfășurare de activități economice la punctul de lucru se raportează la data depunerii cererii/anul anterior depunerii cererii/altă dată de referință.</w:t>
            </w:r>
          </w:p>
          <w:p>
            <w:pPr>
              <w:pStyle w:val="NormalWeb"/>
              <w:widowControl/>
              <w:spacing w:before="28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Răspuns:</w:t>
            </w:r>
            <w:r>
              <w:rPr>
                <w:rFonts w:ascii="Trebuchet MS" w:hAnsi="Trebuchet MS"/>
                <w:sz w:val="22"/>
                <w:szCs w:val="22"/>
                <w:lang w:val="en-US" w:eastAsia="en-US" w:bidi="ar-SA"/>
              </w:rPr>
              <w:br/>
              <w:t>Privitor la data de referință pentru desfășurarea activității economice, vă rugăm să aveți în vedere cele înscrise în Anexa 9a – Grila de evaluare tehnico-financiară la Ghidul solicitantului, criteriul A, subcriteriul A2, unde se menționează faptul că se va acorda punctaj suplimentar pentru „localizarea sediului social al aplicantului și/sau a punctului de lucru cu desfășurarea de activitate economică în zona vizată de apel”, respectiv:</w:t>
            </w:r>
          </w:p>
          <w:p>
            <w:pPr>
              <w:pStyle w:val="NormalWeb"/>
              <w:widowControl/>
              <w:numPr>
                <w:ilvl w:val="0"/>
                <w:numId w:val="24"/>
              </w:numPr>
              <w:spacing w:before="280" w:after="0"/>
              <w:jc w:val="both"/>
              <w:rPr>
                <w:rFonts w:ascii="Trebuchet MS" w:hAnsi="Trebuchet MS"/>
                <w:sz w:val="22"/>
                <w:szCs w:val="22"/>
              </w:rPr>
            </w:pPr>
            <w:r>
              <w:rPr>
                <w:rFonts w:ascii="Trebuchet MS" w:hAnsi="Trebuchet MS"/>
                <w:sz w:val="22"/>
                <w:szCs w:val="22"/>
                <w:lang w:val="en-US" w:eastAsia="en-US" w:bidi="ar-SA"/>
              </w:rPr>
              <w:t>5 puncte dacă a fost desfășurată activitate economică la sediul social/punctul de lucru înainte de 31.12.2024</w:t>
            </w:r>
          </w:p>
          <w:p>
            <w:pPr>
              <w:pStyle w:val="NormalWeb"/>
              <w:widowControl/>
              <w:numPr>
                <w:ilvl w:val="0"/>
                <w:numId w:val="24"/>
              </w:numPr>
              <w:spacing w:before="0" w:after="0"/>
              <w:jc w:val="both"/>
              <w:rPr>
                <w:rFonts w:ascii="Trebuchet MS" w:hAnsi="Trebuchet MS"/>
                <w:sz w:val="22"/>
                <w:szCs w:val="22"/>
              </w:rPr>
            </w:pPr>
            <w:r>
              <w:rPr>
                <w:rFonts w:ascii="Trebuchet MS" w:hAnsi="Trebuchet MS"/>
                <w:sz w:val="22"/>
                <w:szCs w:val="22"/>
                <w:lang w:val="en-US" w:eastAsia="en-US" w:bidi="ar-SA"/>
              </w:rPr>
              <w:t>3 puncte dacă a fost desfășurată activitate economică la sediul social/punctul de lucru după 01.01.2025 până la data depunerii cererii de finanțare</w:t>
            </w:r>
          </w:p>
          <w:p>
            <w:pPr>
              <w:pStyle w:val="NormalWeb"/>
              <w:widowControl/>
              <w:numPr>
                <w:ilvl w:val="0"/>
                <w:numId w:val="24"/>
              </w:numPr>
              <w:spacing w:before="0" w:after="280"/>
              <w:jc w:val="both"/>
              <w:rPr>
                <w:rFonts w:ascii="Trebuchet MS" w:hAnsi="Trebuchet MS"/>
                <w:sz w:val="22"/>
                <w:szCs w:val="22"/>
              </w:rPr>
            </w:pPr>
            <w:r>
              <w:rPr>
                <w:rFonts w:ascii="Trebuchet MS" w:hAnsi="Trebuchet MS"/>
                <w:sz w:val="22"/>
                <w:szCs w:val="22"/>
                <w:lang w:val="en-US" w:eastAsia="en-US" w:bidi="ar-SA"/>
              </w:rPr>
              <w:t>0 puncte după depunerea cererii de finanțare</w:t>
            </w:r>
          </w:p>
          <w:p>
            <w:pPr>
              <w:pStyle w:val="NormalWeb"/>
              <w:widowControl/>
              <w:spacing w:before="280" w:after="280"/>
              <w:jc w:val="both"/>
              <w:rPr>
                <w:rFonts w:ascii="Trebuchet MS" w:hAnsi="Trebuchet MS"/>
                <w:sz w:val="22"/>
                <w:szCs w:val="22"/>
              </w:rPr>
            </w:pPr>
            <w:r>
              <w:rPr>
                <w:rFonts w:ascii="Trebuchet MS" w:hAnsi="Trebuchet MS"/>
                <w:sz w:val="22"/>
                <w:szCs w:val="22"/>
                <w:lang w:val="en-US" w:eastAsia="en-US" w:bidi="ar-SA"/>
              </w:rPr>
              <w:t>2.Conform art. 5.3.2, lucrările de modernizare pot fi considerate eligibile doar în măsura în care sunt aferente și intrinsec legate de investițiile propuse prin proiect, nu presupun doar îmbunătățirea parametrilor tehnici inițiali, ci implică modificări/îmbunătățiri substanțiale ale infrastructurii existente. Lucrările de modernizare nu se referă la simple lucrări de amenajare/reamenajare a spațiilor de producție/prestare de servicii existente ale întreprinderii.</w:t>
            </w:r>
          </w:p>
          <w:p>
            <w:pPr>
              <w:pStyle w:val="NormalWeb"/>
              <w:widowControl/>
              <w:spacing w:before="280" w:after="280"/>
              <w:jc w:val="both"/>
              <w:rPr>
                <w:rFonts w:ascii="Trebuchet MS" w:hAnsi="Trebuchet MS"/>
                <w:sz w:val="22"/>
                <w:szCs w:val="22"/>
              </w:rPr>
            </w:pPr>
            <w:r>
              <w:rPr>
                <w:rStyle w:val="Strong"/>
                <w:rFonts w:eastAsia="" w:ascii="Trebuchet MS" w:hAnsi="Trebuchet MS" w:eastAsiaTheme="majorEastAsia"/>
                <w:sz w:val="22"/>
                <w:szCs w:val="22"/>
                <w:lang w:val="en-US" w:eastAsia="en-US" w:bidi="ar-SA"/>
              </w:rPr>
              <w:t>Ce se înțelege prin modificări/îmbunătățiri substanțiale?</w:t>
            </w:r>
            <w:r>
              <w:rPr>
                <w:rFonts w:ascii="Trebuchet MS" w:hAnsi="Trebuchet MS"/>
                <w:sz w:val="22"/>
                <w:szCs w:val="22"/>
                <w:lang w:val="en-US" w:eastAsia="en-US" w:bidi="ar-SA"/>
              </w:rPr>
              <w:t xml:space="preserve"> Compartimentarea unui spațiu pentru obținerea unui spațiu de producție, vestiare, grupuri sanitare cu dușuri, inclusiv montare gresie, faianță, obiecte sanitare, înlocuirea geamurilor pot fi considerate îmbunătățiri substanțiale?</w:t>
            </w:r>
          </w:p>
          <w:p>
            <w:pPr>
              <w:pStyle w:val="NormalWeb"/>
              <w:widowControl/>
              <w:spacing w:before="280" w:after="0"/>
              <w:jc w:val="both"/>
              <w:rPr>
                <w:rStyle w:val="Strong"/>
                <w:rFonts w:ascii="Trebuchet MS" w:hAnsi="Trebuchet MS"/>
                <w:b w:val="false"/>
                <w:bCs w:val="false"/>
                <w:sz w:val="22"/>
                <w:szCs w:val="22"/>
              </w:rPr>
            </w:pPr>
            <w:r>
              <w:rPr>
                <w:rStyle w:val="Strong"/>
                <w:rFonts w:eastAsia="" w:ascii="Trebuchet MS" w:hAnsi="Trebuchet MS" w:eastAsiaTheme="majorEastAsia"/>
                <w:sz w:val="22"/>
                <w:szCs w:val="22"/>
                <w:lang w:val="en-US" w:eastAsia="en-US" w:bidi="ar-SA"/>
              </w:rPr>
              <w:t>Răspuns:</w:t>
            </w:r>
            <w:r>
              <w:rPr>
                <w:rFonts w:ascii="Trebuchet MS" w:hAnsi="Trebuchet MS"/>
                <w:sz w:val="22"/>
                <w:szCs w:val="22"/>
                <w:lang w:val="en-US" w:eastAsia="en-US" w:bidi="ar-SA"/>
              </w:rPr>
              <w:br/>
              <w:t>Analizarea și evaluarea cererilor de finanțare se va realiza în etapa de evaluare, luând în considerare toate informațiile și documentele anexe transmise de solicitanți.</w:t>
            </w:r>
          </w:p>
        </w:tc>
      </w:tr>
    </w:tbl>
    <w:p>
      <w:pPr>
        <w:pStyle w:val="Normal"/>
        <w:spacing w:before="0" w:after="160"/>
        <w:jc w:val="both"/>
        <w:rPr>
          <w:rFonts w:ascii="Trebuchet MS" w:hAnsi="Trebuchet MS"/>
          <w:sz w:val="22"/>
          <w:szCs w:val="22"/>
          <w:lang w:val="ro-RO"/>
        </w:rPr>
      </w:pPr>
      <w:r>
        <w:rPr>
          <w:rFonts w:ascii="Trebuchet MS" w:hAnsi="Trebuchet MS"/>
          <w:sz w:val="22"/>
          <w:szCs w:val="22"/>
          <w:lang w:val="ro-RO"/>
        </w:rPr>
      </w:r>
    </w:p>
    <w:sectPr>
      <w:type w:val="nextPage"/>
      <w:pgSz w:orient="landscape" w:w="15840" w:h="12240"/>
      <w:pgMar w:left="1440" w:right="108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Arial">
    <w:charset w:val="00"/>
    <w:family w:val="roman"/>
    <w:pitch w:val="variable"/>
  </w:font>
  <w:font w:name="Liberation Sans">
    <w:altName w:val="Arial"/>
    <w:charset w:val="00"/>
    <w:family w:val="swiss"/>
    <w:pitch w:val="variable"/>
  </w:font>
  <w:font w:name="Trebuchet MS">
    <w:charset w:val="00"/>
    <w:family w:val="roman"/>
    <w:pitch w:val="variable"/>
  </w:font>
  <w:font w:name="Apple Color Emoji">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160"/>
      <w:jc w:val="left"/>
    </w:pPr>
    <w:rPr>
      <w:rFonts w:ascii="Aptos" w:hAnsi="Aptos" w:eastAsia="Aptos" w:cs="" w:asciiTheme="minorHAnsi" w:cstheme="minorBidi" w:eastAsiaTheme="minorHAnsi" w:hAnsiTheme="minorHAnsi"/>
      <w:color w:val="auto"/>
      <w:kern w:val="2"/>
      <w:sz w:val="24"/>
      <w:szCs w:val="24"/>
      <w:lang w:val="en-US" w:eastAsia="en-US" w:bidi="ar-SA"/>
      <w14:ligatures w14:val="standardContextual"/>
    </w:rPr>
  </w:style>
  <w:style w:type="paragraph" w:styleId="Heading1">
    <w:name w:val="Heading 1"/>
    <w:basedOn w:val="Normal"/>
    <w:next w:val="Normal"/>
    <w:link w:val="Heading1Char"/>
    <w:uiPriority w:val="9"/>
    <w:qFormat/>
    <w:rsid w:val="00b745f2"/>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Heading2Char"/>
    <w:uiPriority w:val="9"/>
    <w:semiHidden/>
    <w:unhideWhenUsed/>
    <w:qFormat/>
    <w:rsid w:val="00b745f2"/>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Heading3Char"/>
    <w:uiPriority w:val="9"/>
    <w:semiHidden/>
    <w:unhideWhenUsed/>
    <w:qFormat/>
    <w:rsid w:val="00b745f2"/>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Heading4Char"/>
    <w:uiPriority w:val="9"/>
    <w:semiHidden/>
    <w:unhideWhenUsed/>
    <w:qFormat/>
    <w:rsid w:val="00b745f2"/>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Heading5Char"/>
    <w:uiPriority w:val="9"/>
    <w:semiHidden/>
    <w:unhideWhenUsed/>
    <w:qFormat/>
    <w:rsid w:val="00b745f2"/>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Heading6Char"/>
    <w:uiPriority w:val="9"/>
    <w:unhideWhenUsed/>
    <w:qFormat/>
    <w:rsid w:val="00b745f2"/>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Heading7Char"/>
    <w:uiPriority w:val="9"/>
    <w:semiHidden/>
    <w:unhideWhenUsed/>
    <w:qFormat/>
    <w:rsid w:val="00b745f2"/>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Heading8Char"/>
    <w:uiPriority w:val="9"/>
    <w:semiHidden/>
    <w:unhideWhenUsed/>
    <w:qFormat/>
    <w:rsid w:val="00b745f2"/>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Heading9Char"/>
    <w:uiPriority w:val="9"/>
    <w:semiHidden/>
    <w:unhideWhenUsed/>
    <w:qFormat/>
    <w:rsid w:val="00b745f2"/>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b745f2"/>
    <w:rPr>
      <w:rFonts w:ascii="Aptos Display" w:hAnsi="Aptos Display" w:eastAsia="" w:cs="" w:asciiTheme="majorHAnsi" w:cstheme="majorBidi" w:eastAsiaTheme="majorEastAsia" w:hAnsiTheme="majorHAnsi"/>
      <w:color w:themeColor="accent1" w:themeShade="bf" w:val="0F4761"/>
      <w:sz w:val="40"/>
      <w:szCs w:val="40"/>
    </w:rPr>
  </w:style>
  <w:style w:type="character" w:styleId="Heading2Char" w:customStyle="1">
    <w:name w:val="Heading 2 Char"/>
    <w:basedOn w:val="DefaultParagraphFont"/>
    <w:link w:val="Heading2"/>
    <w:uiPriority w:val="9"/>
    <w:semiHidden/>
    <w:qFormat/>
    <w:rsid w:val="00b745f2"/>
    <w:rPr>
      <w:rFonts w:ascii="Aptos Display" w:hAnsi="Aptos Display" w:eastAsia="" w:cs="" w:asciiTheme="majorHAnsi" w:cstheme="majorBidi" w:eastAsiaTheme="majorEastAsia" w:hAnsiTheme="majorHAnsi"/>
      <w:color w:themeColor="accent1" w:themeShade="bf" w:val="0F4761"/>
      <w:sz w:val="32"/>
      <w:szCs w:val="32"/>
    </w:rPr>
  </w:style>
  <w:style w:type="character" w:styleId="Heading3Char" w:customStyle="1">
    <w:name w:val="Heading 3 Char"/>
    <w:basedOn w:val="DefaultParagraphFont"/>
    <w:link w:val="Heading3"/>
    <w:uiPriority w:val="9"/>
    <w:semiHidden/>
    <w:qFormat/>
    <w:rsid w:val="00b745f2"/>
    <w:rPr>
      <w:rFonts w:eastAsia="" w:cs="" w:cstheme="majorBidi" w:eastAsiaTheme="majorEastAsia"/>
      <w:color w:themeColor="accent1" w:themeShade="bf" w:val="0F4761"/>
      <w:sz w:val="28"/>
      <w:szCs w:val="28"/>
    </w:rPr>
  </w:style>
  <w:style w:type="character" w:styleId="Heading4Char" w:customStyle="1">
    <w:name w:val="Heading 4 Char"/>
    <w:basedOn w:val="DefaultParagraphFont"/>
    <w:link w:val="Heading4"/>
    <w:uiPriority w:val="9"/>
    <w:semiHidden/>
    <w:qFormat/>
    <w:rsid w:val="00b745f2"/>
    <w:rPr>
      <w:rFonts w:eastAsia="" w:cs="" w:cstheme="majorBidi" w:eastAsiaTheme="majorEastAsia"/>
      <w:i/>
      <w:iCs/>
      <w:color w:themeColor="accent1" w:themeShade="bf" w:val="0F4761"/>
    </w:rPr>
  </w:style>
  <w:style w:type="character" w:styleId="Heading5Char" w:customStyle="1">
    <w:name w:val="Heading 5 Char"/>
    <w:basedOn w:val="DefaultParagraphFont"/>
    <w:link w:val="Heading5"/>
    <w:uiPriority w:val="9"/>
    <w:semiHidden/>
    <w:qFormat/>
    <w:rsid w:val="00b745f2"/>
    <w:rPr>
      <w:rFonts w:eastAsia="" w:cs="" w:cstheme="majorBidi" w:eastAsiaTheme="majorEastAsia"/>
      <w:color w:themeColor="accent1" w:themeShade="bf" w:val="0F4761"/>
    </w:rPr>
  </w:style>
  <w:style w:type="character" w:styleId="Heading6Char" w:customStyle="1">
    <w:name w:val="Heading 6 Char"/>
    <w:basedOn w:val="DefaultParagraphFont"/>
    <w:link w:val="Heading6"/>
    <w:uiPriority w:val="9"/>
    <w:qFormat/>
    <w:rsid w:val="00b745f2"/>
    <w:rPr>
      <w:rFonts w:eastAsia="" w:cs="" w:cstheme="majorBidi" w:eastAsiaTheme="majorEastAsia"/>
      <w:i/>
      <w:iCs/>
      <w:color w:themeColor="text1" w:themeTint="a6" w:val="595959"/>
    </w:rPr>
  </w:style>
  <w:style w:type="character" w:styleId="Heading7Char" w:customStyle="1">
    <w:name w:val="Heading 7 Char"/>
    <w:basedOn w:val="DefaultParagraphFont"/>
    <w:link w:val="Heading7"/>
    <w:uiPriority w:val="9"/>
    <w:semiHidden/>
    <w:qFormat/>
    <w:rsid w:val="00b745f2"/>
    <w:rPr>
      <w:rFonts w:eastAsia="" w:cs="" w:cstheme="majorBidi" w:eastAsiaTheme="majorEastAsia"/>
      <w:color w:themeColor="text1" w:themeTint="a6" w:val="595959"/>
    </w:rPr>
  </w:style>
  <w:style w:type="character" w:styleId="Heading8Char" w:customStyle="1">
    <w:name w:val="Heading 8 Char"/>
    <w:basedOn w:val="DefaultParagraphFont"/>
    <w:link w:val="Heading8"/>
    <w:uiPriority w:val="9"/>
    <w:semiHidden/>
    <w:qFormat/>
    <w:rsid w:val="00b745f2"/>
    <w:rPr>
      <w:rFonts w:eastAsia="" w:cs="" w:cstheme="majorBidi" w:eastAsiaTheme="majorEastAsia"/>
      <w:i/>
      <w:iCs/>
      <w:color w:themeColor="text1" w:themeTint="d8" w:val="272727"/>
    </w:rPr>
  </w:style>
  <w:style w:type="character" w:styleId="Heading9Char" w:customStyle="1">
    <w:name w:val="Heading 9 Char"/>
    <w:basedOn w:val="DefaultParagraphFont"/>
    <w:link w:val="Heading9"/>
    <w:uiPriority w:val="9"/>
    <w:semiHidden/>
    <w:qFormat/>
    <w:rsid w:val="00b745f2"/>
    <w:rPr>
      <w:rFonts w:eastAsia="" w:cs="" w:cstheme="majorBidi" w:eastAsiaTheme="majorEastAsia"/>
      <w:color w:themeColor="text1" w:themeTint="d8" w:val="272727"/>
    </w:rPr>
  </w:style>
  <w:style w:type="character" w:styleId="TitleChar" w:customStyle="1">
    <w:name w:val="Title Char"/>
    <w:basedOn w:val="DefaultParagraphFont"/>
    <w:link w:val="Title"/>
    <w:uiPriority w:val="10"/>
    <w:qFormat/>
    <w:rsid w:val="00b745f2"/>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b745f2"/>
    <w:rPr>
      <w:rFonts w:eastAsia="" w:cs="" w:cstheme="majorBidi" w:eastAsiaTheme="majorEastAsia"/>
      <w:color w:themeColor="text1" w:themeTint="a6" w:val="595959"/>
      <w:spacing w:val="15"/>
      <w:sz w:val="28"/>
      <w:szCs w:val="28"/>
    </w:rPr>
  </w:style>
  <w:style w:type="character" w:styleId="QuoteChar" w:customStyle="1">
    <w:name w:val="Quote Char"/>
    <w:basedOn w:val="DefaultParagraphFont"/>
    <w:link w:val="Quote"/>
    <w:uiPriority w:val="29"/>
    <w:qFormat/>
    <w:rsid w:val="00b745f2"/>
    <w:rPr>
      <w:i/>
      <w:iCs/>
      <w:color w:themeColor="text1" w:themeTint="bf" w:val="404040"/>
    </w:rPr>
  </w:style>
  <w:style w:type="character" w:styleId="IntenseEmphasis">
    <w:name w:val="Intense Emphasis"/>
    <w:basedOn w:val="DefaultParagraphFont"/>
    <w:uiPriority w:val="21"/>
    <w:qFormat/>
    <w:rsid w:val="00b745f2"/>
    <w:rPr>
      <w:i/>
      <w:iCs/>
      <w:color w:themeColor="accent1" w:themeShade="bf" w:val="0F4761"/>
    </w:rPr>
  </w:style>
  <w:style w:type="character" w:styleId="IntenseQuoteChar" w:customStyle="1">
    <w:name w:val="Intense Quote Char"/>
    <w:basedOn w:val="DefaultParagraphFont"/>
    <w:link w:val="IntenseQuote"/>
    <w:uiPriority w:val="30"/>
    <w:qFormat/>
    <w:rsid w:val="00b745f2"/>
    <w:rPr>
      <w:i/>
      <w:iCs/>
      <w:color w:themeColor="accent1" w:themeShade="bf" w:val="0F4761"/>
    </w:rPr>
  </w:style>
  <w:style w:type="character" w:styleId="IntenseReference">
    <w:name w:val="Intense Reference"/>
    <w:basedOn w:val="DefaultParagraphFont"/>
    <w:uiPriority w:val="32"/>
    <w:qFormat/>
    <w:rsid w:val="00b745f2"/>
    <w:rPr>
      <w:b/>
      <w:bCs/>
      <w:smallCaps/>
      <w:color w:themeColor="accent1" w:themeShade="bf" w:val="0F4761"/>
      <w:spacing w:val="5"/>
    </w:rPr>
  </w:style>
  <w:style w:type="character" w:styleId="Hyperlink">
    <w:name w:val="Hyperlink"/>
    <w:basedOn w:val="DefaultParagraphFont"/>
    <w:uiPriority w:val="99"/>
    <w:unhideWhenUsed/>
    <w:rsid w:val="00563f40"/>
    <w:rPr>
      <w:color w:val="0000FF"/>
      <w:u w:val="single"/>
    </w:rPr>
  </w:style>
  <w:style w:type="character" w:styleId="Z-TopofFormChar" w:customStyle="1">
    <w:name w:val="z-Top of Form Char"/>
    <w:basedOn w:val="DefaultParagraphFont"/>
    <w:link w:val="HTMLTopofForm"/>
    <w:uiPriority w:val="99"/>
    <w:semiHidden/>
    <w:qFormat/>
    <w:rsid w:val="005c2907"/>
    <w:rPr>
      <w:rFonts w:ascii="Arial" w:hAnsi="Arial" w:eastAsia="Times New Roman" w:cs="Arial"/>
      <w:vanish/>
      <w:kern w:val="0"/>
      <w:sz w:val="16"/>
      <w:szCs w:val="16"/>
      <w14:ligatures w14:val="none"/>
    </w:rPr>
  </w:style>
  <w:style w:type="character" w:styleId="Z-BottomofFormChar" w:customStyle="1">
    <w:name w:val="z-Bottom of Form Char"/>
    <w:basedOn w:val="DefaultParagraphFont"/>
    <w:link w:val="HTMLBottomofForm"/>
    <w:uiPriority w:val="99"/>
    <w:semiHidden/>
    <w:qFormat/>
    <w:rsid w:val="005c2907"/>
    <w:rPr>
      <w:rFonts w:ascii="Arial" w:hAnsi="Arial" w:eastAsia="Times New Roman" w:cs="Arial"/>
      <w:vanish/>
      <w:kern w:val="0"/>
      <w:sz w:val="16"/>
      <w:szCs w:val="16"/>
      <w14:ligatures w14:val="none"/>
    </w:rPr>
  </w:style>
  <w:style w:type="character" w:styleId="Strong">
    <w:name w:val="Strong"/>
    <w:basedOn w:val="DefaultParagraphFont"/>
    <w:uiPriority w:val="22"/>
    <w:qFormat/>
    <w:rsid w:val="00fc3454"/>
    <w:rPr>
      <w:b/>
      <w:bCs/>
    </w:rPr>
  </w:style>
  <w:style w:type="character" w:styleId="FollowedHyperlink">
    <w:name w:val="FollowedHyperlink"/>
    <w:basedOn w:val="DefaultParagraphFont"/>
    <w:uiPriority w:val="99"/>
    <w:semiHidden/>
    <w:unhideWhenUsed/>
    <w:rsid w:val="00fc3454"/>
    <w:rPr>
      <w:color w:themeColor="followedHyperlink" w:val="96607D"/>
      <w:u w:val="single"/>
    </w:rPr>
  </w:style>
  <w:style w:type="character" w:styleId="Emphasis">
    <w:name w:val="Emphasis"/>
    <w:basedOn w:val="DefaultParagraphFont"/>
    <w:uiPriority w:val="20"/>
    <w:qFormat/>
    <w:rsid w:val="00fc3454"/>
    <w:rPr>
      <w:i/>
      <w:iCs/>
    </w:rPr>
  </w:style>
  <w:style w:type="character" w:styleId="UnresolvedMention">
    <w:name w:val="Unresolved Mention"/>
    <w:basedOn w:val="DefaultParagraphFont"/>
    <w:uiPriority w:val="99"/>
    <w:semiHidden/>
    <w:unhideWhenUsed/>
    <w:qFormat/>
    <w:rsid w:val="003c5c22"/>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link w:val="TitleChar"/>
    <w:uiPriority w:val="10"/>
    <w:qFormat/>
    <w:rsid w:val="00b745f2"/>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b745f2"/>
    <w:pPr/>
    <w:rPr>
      <w:rFonts w:eastAsia="" w:cs="" w:cstheme="majorBidi" w:eastAsiaTheme="majorEastAsia"/>
      <w:color w:themeColor="text1" w:themeTint="a6" w:val="595959"/>
      <w:spacing w:val="15"/>
      <w:sz w:val="28"/>
      <w:szCs w:val="28"/>
    </w:rPr>
  </w:style>
  <w:style w:type="paragraph" w:styleId="Quote">
    <w:name w:val="Quote"/>
    <w:basedOn w:val="Normal"/>
    <w:next w:val="Normal"/>
    <w:link w:val="QuoteChar"/>
    <w:uiPriority w:val="29"/>
    <w:qFormat/>
    <w:rsid w:val="00b745f2"/>
    <w:pPr>
      <w:spacing w:before="160" w:after="160"/>
      <w:jc w:val="center"/>
    </w:pPr>
    <w:rPr>
      <w:i/>
      <w:iCs/>
      <w:color w:themeColor="text1" w:themeTint="bf" w:val="404040"/>
    </w:rPr>
  </w:style>
  <w:style w:type="paragraph" w:styleId="ListParagraph">
    <w:name w:val="List Paragraph"/>
    <w:basedOn w:val="Normal"/>
    <w:uiPriority w:val="34"/>
    <w:qFormat/>
    <w:rsid w:val="00b745f2"/>
    <w:pPr>
      <w:spacing w:before="0" w:after="160"/>
      <w:ind w:left="720"/>
      <w:contextualSpacing/>
    </w:pPr>
    <w:rPr/>
  </w:style>
  <w:style w:type="paragraph" w:styleId="IntenseQuote">
    <w:name w:val="Intense Quote"/>
    <w:basedOn w:val="Normal"/>
    <w:next w:val="Normal"/>
    <w:link w:val="IntenseQuoteChar"/>
    <w:uiPriority w:val="30"/>
    <w:qFormat/>
    <w:rsid w:val="00b745f2"/>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NormalWeb">
    <w:name w:val="Normal (Web)"/>
    <w:basedOn w:val="Normal"/>
    <w:uiPriority w:val="99"/>
    <w:unhideWhenUsed/>
    <w:qFormat/>
    <w:rsid w:val="003114d7"/>
    <w:pPr>
      <w:spacing w:lineRule="auto" w:line="240" w:beforeAutospacing="1" w:afterAutospacing="1"/>
    </w:pPr>
    <w:rPr>
      <w:rFonts w:ascii="Times New Roman" w:hAnsi="Times New Roman" w:eastAsia="Times New Roman" w:cs="Times New Roman"/>
      <w:kern w:val="0"/>
      <w14:ligatures w14:val="none"/>
    </w:rPr>
  </w:style>
  <w:style w:type="paragraph" w:styleId="HTMLTopofForm">
    <w:name w:val="HTML Top of Form"/>
    <w:basedOn w:val="Normal"/>
    <w:next w:val="Normal"/>
    <w:link w:val="Z-TopofFormChar"/>
    <w:uiPriority w:val="99"/>
    <w:semiHidden/>
    <w:unhideWhenUsed/>
    <w:qFormat/>
    <w:rsid w:val="005c2907"/>
    <w:pPr>
      <w:pBdr>
        <w:bottom w:val="single" w:sz="6" w:space="1" w:color="000000"/>
      </w:pBdr>
      <w:spacing w:lineRule="auto" w:line="240" w:before="0" w:after="0"/>
      <w:jc w:val="center"/>
    </w:pPr>
    <w:rPr>
      <w:rFonts w:ascii="Arial" w:hAnsi="Arial" w:eastAsia="Times New Roman" w:cs="Arial"/>
      <w:vanish/>
      <w:kern w:val="0"/>
      <w:sz w:val="16"/>
      <w:szCs w:val="16"/>
      <w14:ligatures w14:val="none"/>
    </w:rPr>
  </w:style>
  <w:style w:type="paragraph" w:styleId="Placeholder" w:customStyle="1">
    <w:name w:val="placeholder"/>
    <w:basedOn w:val="Normal"/>
    <w:qFormat/>
    <w:rsid w:val="005c2907"/>
    <w:pPr>
      <w:spacing w:lineRule="auto" w:line="240" w:beforeAutospacing="1" w:afterAutospacing="1"/>
    </w:pPr>
    <w:rPr>
      <w:rFonts w:ascii="Times New Roman" w:hAnsi="Times New Roman" w:eastAsia="Times New Roman" w:cs="Times New Roman"/>
      <w:kern w:val="0"/>
      <w14:ligatures w14:val="none"/>
    </w:rPr>
  </w:style>
  <w:style w:type="paragraph" w:styleId="HTMLBottomofForm">
    <w:name w:val="HTML Bottom of Form"/>
    <w:basedOn w:val="Normal"/>
    <w:next w:val="Normal"/>
    <w:link w:val="Z-BottomofFormChar"/>
    <w:uiPriority w:val="99"/>
    <w:semiHidden/>
    <w:unhideWhenUsed/>
    <w:qFormat/>
    <w:rsid w:val="005c2907"/>
    <w:pPr>
      <w:pBdr>
        <w:top w:val="single" w:sz="6" w:space="1" w:color="000000"/>
      </w:pBdr>
      <w:spacing w:lineRule="auto" w:line="240" w:before="0" w:after="0"/>
      <w:jc w:val="center"/>
    </w:pPr>
    <w:rPr>
      <w:rFonts w:ascii="Arial" w:hAnsi="Arial" w:eastAsia="Times New Roman" w:cs="Arial"/>
      <w:vanish/>
      <w:kern w:val="0"/>
      <w:sz w:val="16"/>
      <w:szCs w:val="16"/>
      <w14:ligatures w14:val="none"/>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b745f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4-Accent1">
    <w:name w:val="Grid Table 4 Accent 1"/>
    <w:basedOn w:val="TableNormal"/>
    <w:uiPriority w:val="49"/>
    <w:rsid w:val="008f0d29"/>
    <w:pPr>
      <w:spacing w:after="0" w:line="240" w:lineRule="auto"/>
    </w:pPr>
    <w:rPr>
      <w:sz w:val="20"/>
      <w:szCs w:val="20"/>
    </w:rPr>
    <w:tblPr>
      <w:tblStyleRowBandSize w:val="1"/>
      <w:tblStyleColBandSize w:val="1"/>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bl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blPr/>
      <w:tcPr>
        <w:tcBorders>
          <w:top w:val="double" w:color="4472C4" w:sz="4" w:space="0"/>
        </w:tcBorders>
      </w:tcPr>
    </w:tblStylePr>
    <w:tblStylePr w:type="firstCol">
      <w:rPr>
        <w:b/>
        <w:bCs/>
      </w:rPr>
      <w:tblPr/>
    </w:tblStylePr>
    <w:tblStylePr w:type="lastCol">
      <w:rPr>
        <w:b/>
        <w:bCs/>
      </w:rPr>
      <w:tblPr/>
    </w:tblStylePr>
    <w:tblStylePr w:type="band1Vert">
      <w:tblPr/>
      <w:tcPr>
        <w:shd w:val="clear" w:color="auto" w:fill="D9E2F3"/>
      </w:tcPr>
    </w:tblStylePr>
    <w:tblStylePr w:type="band1Horz">
      <w:tblPr/>
      <w:tcPr>
        <w:shd w:val="clear" w:color="auto" w:fill="D9E2F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fe.gov.ro/ghiduri_ptj/ghidul-solicitantului-pentru-interventii-care-sprijina-dezvoltarea-intreprinderilor-si-a-antreprenoriatului/" TargetMode="External"/><Relationship Id="rId3" Type="http://schemas.openxmlformats.org/officeDocument/2006/relationships/hyperlink" Target="https://mfe.gov.ro/ghiduri_ptj/ghidul-solicitantului-pentru-interventii-care-sprijina-dezvoltarea-intreprinderilor-si-a-antreprenoriatului/" TargetMode="External"/><Relationship Id="rId4" Type="http://schemas.openxmlformats.org/officeDocument/2006/relationships/hyperlink" Target="https://op.europa.eu/ro/publication-detail/-/publication/756d9260-ee54-11ea-991b-01aa75ed71a1" TargetMode="External"/><Relationship Id="rId5" Type="http://schemas.openxmlformats.org/officeDocument/2006/relationships/hyperlink" Target="https://mfe.gov.ro/ghiduri_ptj/ghidul-solicitantului-pentru-interventii-care-sprijina-dezvoltarea-intreprinderilor-si-a-antreprenoriatului/" TargetMode="External"/><Relationship Id="rId6" Type="http://schemas.openxmlformats.org/officeDocument/2006/relationships/hyperlink" Target="https://mfe.gov.ro/ptj-a-fost-actualizata-metodologia-si-criteriile-de-evaluare-si-selectie-pentru-ghidul-investitii-pentru-dezvoltarea-imm-care-sprijina-cresterea-durabila-si-crearea-de-locuri-de-munca/" TargetMode="External"/><Relationship Id="rId7" Type="http://schemas.openxmlformats.org/officeDocument/2006/relationships/hyperlink" Target="https://mfe.gov.ro/ptj-ghidul-solicitantului-pentru-interventii-care-sprijina-dezvoltarea-intreprinderilor-si-a-antreprenoriatului/" TargetMode="External"/><Relationship Id="rId8" Type="http://schemas.openxmlformats.org/officeDocument/2006/relationships/hyperlink" Target="https://mfe.gov.ro/ptj/despre-program-programare/" TargetMode="External"/><Relationship Id="rId9" Type="http://schemas.openxmlformats.org/officeDocument/2006/relationships/hyperlink" Target="https://mfe.gov.ro/ptj/noutati" TargetMode="External"/><Relationship Id="rId10" Type="http://schemas.openxmlformats.org/officeDocument/2006/relationships/hyperlink" Target="https://mfe.gov.ro/ghidul-solicitantului-pentru-actiunea-dezvoltarea-intreprinderilor-si-a-antreprenoriatului-componenta-investitii-pentru-dezvoltarea-imm-care-sprijina-cresterea-dur-2/" TargetMode="External"/><Relationship Id="rId11" Type="http://schemas.openxmlformats.org/officeDocument/2006/relationships/hyperlink" Target="https://mfe.gov.ro/consultare-publica-ptj-ghidului-solicitantului-pentru-actiunea-dezvoltarea-intreprinderilor-si-a-antreprenoriatului-componenta-sprijin-pentru-cresterea-durabila/" TargetMode="External"/><Relationship Id="rId12" Type="http://schemas.openxmlformats.org/officeDocument/2006/relationships/hyperlink" Target="https://mfe.gov.ro/ptj/noutati/" TargetMode="External"/><Relationship Id="rId13" Type="http://schemas.openxmlformats.org/officeDocument/2006/relationships/hyperlink" Target="http://www.adrse.ro/PTJ_2021/Comunicate" TargetMode="External"/><Relationship Id="rId14" Type="http://schemas.openxmlformats.org/officeDocument/2006/relationships/hyperlink" Target="https://mfe.gov.ro/ptj/noutati/" TargetMode="External"/><Relationship Id="rId15" Type="http://schemas.openxmlformats.org/officeDocument/2006/relationships/hyperlink" Target="http://www.adrse.ro/PTJ_2021/Comunicate" TargetMode="External"/><Relationship Id="rId16" Type="http://schemas.openxmlformats.org/officeDocument/2006/relationships/hyperlink" Target="https://www.adrcentru.ro/wp-content/uploads/2025/03/Actualizare-metodologie-si-criterii-de-evaluare-si-selectie-Investitii-pentru-dezvoltarea-IMM.pdf" TargetMode="External"/><Relationship Id="rId17" Type="http://schemas.openxmlformats.org/officeDocument/2006/relationships/hyperlink" Target="https://www.adrcentru.ro/ptj-centru/ptj-implementare/ptj-ghiduri-lansate/ptj-antreprenorii-din-judetul-mures-pot-depune-cereri-de-finantare-in-cadrul-apelului-de-proiecte-adresat-microintreprinderilor/" TargetMode="External"/><Relationship Id="rId18" Type="http://schemas.openxmlformats.org/officeDocument/2006/relationships/hyperlink" Target="https://mfe.gov.ro/ptj/ghiduri/" TargetMode="External"/><Relationship Id="rId19" Type="http://schemas.openxmlformats.org/officeDocument/2006/relationships/hyperlink" Target="https://ptj2021-2027.adroltenia.ro/apeluri-lansate/" TargetMode="External"/><Relationship Id="rId20" Type="http://schemas.openxmlformats.org/officeDocument/2006/relationships/hyperlink" Target="https://ptj2021-2027.adroltenia.ro/ghiduri-in-consultare/" TargetMode="External"/><Relationship Id="rId21" Type="http://schemas.openxmlformats.org/officeDocument/2006/relationships/hyperlink" Target="https://ptj2021-2027.adroltenia.ro/schema-de-minimis-privind-dezvoltarea-microintreprinderilor-aprobata/" TargetMode="External"/><Relationship Id="rId22" Type="http://schemas.openxmlformats.org/officeDocument/2006/relationships/hyperlink" Target="https://ptj2021-2027.adroltenia.ro/schema-de-minimis-privind-dezvoltarea-microintreprinderilor-aprobata/" TargetMode="External"/><Relationship Id="rId23" Type="http://schemas.openxmlformats.org/officeDocument/2006/relationships/hyperlink" Target="https://ptj2021-2027.adroltenia.ro/schema-de-minimis-privind-dezvoltarea-microintreprinderilor-aprobata/" TargetMode="External"/><Relationship Id="rId24" Type="http://schemas.openxmlformats.org/officeDocument/2006/relationships/hyperlink" Target="https://ptj2021-2027.adroltenia.ro/ptj-aprobat/" TargetMode="External"/><Relationship Id="rId25" Type="http://schemas.openxmlformats.org/officeDocument/2006/relationships/hyperlink" Target="https://mfe.gov.ro/ptj-21-27/" TargetMode="External"/><Relationship Id="rId26" Type="http://schemas.openxmlformats.org/officeDocument/2006/relationships/hyperlink" Target="http://www.mmediu.ro/categorie/eia/134" TargetMode="External"/><Relationship Id="rId27" Type="http://schemas.openxmlformats.org/officeDocument/2006/relationships/hyperlink" Target="https://mfe.gov.ro/ptj/despre-program-programare/" TargetMode="External"/><Relationship Id="rId28" Type="http://schemas.openxmlformats.org/officeDocument/2006/relationships/hyperlink" Target="https://www.adroltenia.ro/" TargetMode="External"/><Relationship Id="rId29" Type="http://schemas.openxmlformats.org/officeDocument/2006/relationships/hyperlink" Target="https://ptj2021-2027.adroltenia.ro/lansare-apel-de-proiecte-pentru-finantarea-microintreprinderilor/" TargetMode="External"/><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Relationship Id="rId33" Type="http://schemas.openxmlformats.org/officeDocument/2006/relationships/theme" Target="theme/theme1.xml"/><Relationship Id="rId3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12700" cap="flat" cmpd="sng" algn="ctr">
          <a:prstDash val="solid"/>
          <a:miter lim="800000"/>
        </a:ln>
        <a:ln w="19050" cap="flat" cmpd="sng" algn="ctr">
          <a:prstDash val="solid"/>
          <a:miter lim="800000"/>
        </a:ln>
        <a:ln w="2540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B7621-BFA7-E345-A7B0-6A37805E6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LibreOffice/24.2.3.2$Windows_X86_64 LibreOffice_project/433d9c2ded56988e8a90e6b2e771ee4e6a5ab2ba</Application>
  <AppVersion>15.0000</AppVersion>
  <Pages>112</Pages>
  <Words>28337</Words>
  <Characters>175125</Characters>
  <CharactersWithSpaces>202661</CharactersWithSpaces>
  <Paragraphs>819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2025-08-21T04:34:00Z</dcterms:created>
  <dc:creator>Beatrice Maria Barbu</dc:creator>
  <dc:description/>
  <dc:language>ro-RO</dc:language>
  <cp:lastModifiedBy>Madalina Enache</cp:lastModifiedBy>
  <cp:lastPrinted>2025-08-27T21:22:00Z</cp:lastPrinted>
  <dcterms:modified xsi:type="dcterms:W3CDTF">2025-08-21T07:46:00Z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